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b/>
          <w:bCs/>
          <w:sz w:val="36"/>
          <w:szCs w:val="36"/>
          <w:lang w:val="en-US" w:eastAsia="zh-CN"/>
        </w:rPr>
      </w:pPr>
      <w:r>
        <w:rPr>
          <w:rFonts w:hint="eastAsia"/>
          <w:b/>
          <w:bCs/>
          <w:sz w:val="36"/>
          <w:szCs w:val="36"/>
          <w:lang w:val="en-US" w:eastAsia="zh-CN"/>
        </w:rPr>
        <w:t>2023年产品题库</w:t>
      </w:r>
    </w:p>
    <w:p>
      <w:pPr>
        <w:pStyle w:val="2"/>
        <w:bidi w:val="0"/>
        <w:jc w:val="center"/>
        <w:rPr>
          <w:rFonts w:hint="eastAsia"/>
          <w:lang w:val="en-US" w:eastAsia="zh-CN"/>
        </w:rPr>
      </w:pPr>
    </w:p>
    <w:p>
      <w:pPr>
        <w:pStyle w:val="4"/>
        <w:rPr>
          <w:rFonts w:hint="eastAsia" w:eastAsia="宋体"/>
          <w:b/>
          <w:sz w:val="34"/>
          <w:lang w:eastAsia="zh-CN"/>
        </w:rPr>
      </w:pPr>
    </w:p>
    <w:p>
      <w:pPr>
        <w:pStyle w:val="8"/>
        <w:numPr>
          <w:ilvl w:val="0"/>
          <w:numId w:val="0"/>
        </w:numPr>
        <w:ind w:left="420" w:leftChars="0"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rPr>
        <w:t>轮状病毒</w:t>
      </w:r>
      <w:r>
        <w:rPr>
          <w:rFonts w:hint="eastAsia"/>
          <w:color w:val="auto"/>
          <w:highlight w:val="none"/>
          <w:shd w:val="clear" w:color="auto" w:fill="auto"/>
          <w:lang w:val="en-US" w:eastAsia="zh-CN"/>
        </w:rPr>
        <w:t>感染的主要症状</w:t>
      </w:r>
      <w:r>
        <w:rPr>
          <w:rFonts w:hint="eastAsia"/>
          <w:color w:val="auto"/>
          <w:highlight w:val="none"/>
          <w:shd w:val="clear" w:color="auto" w:fill="auto"/>
        </w:rPr>
        <w:t>有：</w:t>
      </w:r>
      <w:r>
        <w:rPr>
          <w:rFonts w:hint="eastAsia"/>
          <w:b/>
          <w:color w:val="auto"/>
          <w:highlight w:val="none"/>
          <w:shd w:val="clear" w:color="auto" w:fill="auto"/>
        </w:rPr>
        <w:t>abcd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呕吐</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发热</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腹泻</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重则脱水、电解质紊乱，甚至死亡</w:t>
      </w:r>
    </w:p>
    <w:p>
      <w:pPr>
        <w:pStyle w:val="8"/>
        <w:numPr>
          <w:ilvl w:val="0"/>
          <w:numId w:val="0"/>
        </w:numPr>
        <w:ind w:leftChars="0" w:right="0" w:rightChars="0"/>
        <w:rPr>
          <w:b/>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rPr>
        <w:t>轮状病毒</w:t>
      </w:r>
      <w:r>
        <w:rPr>
          <w:rFonts w:hint="eastAsia"/>
          <w:color w:val="auto"/>
          <w:highlight w:val="none"/>
          <w:shd w:val="clear" w:color="auto" w:fill="auto"/>
          <w:lang w:val="en-US" w:eastAsia="zh-CN"/>
        </w:rPr>
        <w:t>感染可能会并发肠道外感染</w:t>
      </w:r>
      <w:r>
        <w:rPr>
          <w:rFonts w:hint="eastAsia"/>
          <w:color w:val="auto"/>
          <w:highlight w:val="none"/>
          <w:shd w:val="clear" w:color="auto" w:fill="auto"/>
        </w:rPr>
        <w:t>，除腹泻之外的肠道外感染有：</w:t>
      </w:r>
      <w:r>
        <w:rPr>
          <w:rFonts w:hint="eastAsia"/>
          <w:b/>
          <w:color w:val="auto"/>
          <w:highlight w:val="none"/>
          <w:shd w:val="clear" w:color="auto" w:fill="auto"/>
        </w:rPr>
        <w:t>abcd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rPr>
        <w:t>急性咽喉炎、支气管炎和肺炎</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惊厥、癫痫</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肝炎和肾脏损伤</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心肌炎</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kern w:val="0"/>
          <w:highlight w:val="none"/>
          <w:shd w:val="clear" w:color="auto" w:fill="auto"/>
        </w:rPr>
        <w:t>一项在中国进行的综述显示，轮状病毒感染高发于2岁以下婴幼儿，其中， 5岁以下的住院轮状病毒胃肠炎儿童，2岁前的发病率分别是：</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kern w:val="0"/>
          <w:highlight w:val="none"/>
          <w:shd w:val="clear" w:color="auto" w:fill="auto"/>
          <w:lang w:val="en-US" w:eastAsia="zh-CN"/>
        </w:rPr>
        <w:t>69</w:t>
      </w:r>
      <w:r>
        <w:rPr>
          <w:rFonts w:hint="eastAsia"/>
          <w:color w:val="auto"/>
          <w:kern w:val="0"/>
          <w:highlight w:val="none"/>
          <w:shd w:val="clear" w:color="auto" w:fill="auto"/>
        </w:rPr>
        <w:t>%</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74</w:t>
      </w:r>
      <w:r>
        <w:rPr>
          <w:rFonts w:hint="eastAsia"/>
          <w:color w:val="auto"/>
          <w:highlight w:val="none"/>
          <w:shd w:val="clear" w:color="auto" w:fill="auto"/>
        </w:rPr>
        <w:t>%</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rPr>
        <w:t>91%</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95.5</w:t>
      </w:r>
      <w:r>
        <w:rPr>
          <w:rFonts w:hint="eastAsia"/>
          <w:color w:val="auto"/>
          <w:highlight w:val="none"/>
          <w:shd w:val="clear" w:color="auto" w:fill="auto"/>
        </w:rPr>
        <w:t>%</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rPr>
        <w:t>一项我国流调研究显示</w:t>
      </w:r>
      <w:r>
        <w:rPr>
          <w:rFonts w:hint="eastAsia"/>
          <w:color w:val="auto"/>
          <w:highlight w:val="none"/>
          <w:shd w:val="clear" w:color="auto" w:fill="auto"/>
          <w:lang w:eastAsia="zh-CN"/>
        </w:rPr>
        <w:t>，</w:t>
      </w:r>
      <w:r>
        <w:rPr>
          <w:rFonts w:hint="eastAsia"/>
          <w:color w:val="auto"/>
          <w:highlight w:val="none"/>
          <w:shd w:val="clear" w:color="auto" w:fill="auto"/>
        </w:rPr>
        <w:t>在我国2009-2015年≤5岁儿童中流行的轮状病毒G血清型，G1，G2，G3，G4，G9覆盖率达</w:t>
      </w:r>
      <w:r>
        <w:rPr>
          <w:rFonts w:hint="eastAsia"/>
          <w:color w:val="auto"/>
          <w:highlight w:val="none"/>
          <w:u w:val="single"/>
          <w:shd w:val="clear" w:color="auto" w:fill="auto"/>
          <w:lang w:val="en-US" w:eastAsia="zh-CN"/>
        </w:rPr>
        <w:t xml:space="preserve">   </w:t>
      </w:r>
      <w:r>
        <w:rPr>
          <w:rFonts w:hint="eastAsia"/>
          <w:color w:val="auto"/>
          <w:highlight w:val="none"/>
          <w:shd w:val="clear" w:color="auto" w:fill="auto"/>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76.3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90</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98.6</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 xml:space="preserve">一项我国流调研究显示，在我国2009-2015年≤5岁儿童中，P[8]是最常见的P血清型，占比 </w:t>
      </w:r>
      <w:r>
        <w:rPr>
          <w:rFonts w:hint="eastAsia"/>
          <w:color w:val="auto"/>
          <w:highlight w:val="none"/>
          <w:u w:val="single"/>
          <w:shd w:val="clear" w:color="auto" w:fill="auto"/>
          <w:lang w:val="en-US" w:eastAsia="zh-CN"/>
        </w:rPr>
        <w:t xml:space="preserve">   </w:t>
      </w:r>
      <w:r>
        <w:rPr>
          <w:rFonts w:hint="eastAsia"/>
          <w:color w:val="auto"/>
          <w:highlight w:val="none"/>
          <w:shd w:val="clear" w:color="auto" w:fill="auto"/>
        </w:rPr>
        <w:t>%：</w:t>
      </w:r>
      <w:r>
        <w:rPr>
          <w:rFonts w:hint="eastAsia"/>
          <w:b/>
          <w:color w:val="auto"/>
          <w:highlight w:val="none"/>
          <w:shd w:val="clear" w:color="auto" w:fill="auto"/>
          <w:lang w:val="en-US" w:eastAsia="zh-CN"/>
        </w:rPr>
        <w:t>a</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76.3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90</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98.6</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五价轮状疫苗中国三期临床试验</w:t>
      </w:r>
      <w:r>
        <w:rPr>
          <w:rFonts w:hint="eastAsia"/>
          <w:color w:val="auto"/>
          <w:highlight w:val="none"/>
          <w:shd w:val="clear" w:color="auto" w:fill="auto"/>
        </w:rPr>
        <w:t>显示</w:t>
      </w:r>
      <w:r>
        <w:rPr>
          <w:rFonts w:hint="eastAsia"/>
          <w:color w:val="auto"/>
          <w:highlight w:val="none"/>
          <w:shd w:val="clear" w:color="auto" w:fill="auto"/>
          <w:lang w:eastAsia="zh-CN"/>
        </w:rPr>
        <w:t>，对6-12周龄符合方案分析集(PPS)的健康婴儿，</w:t>
      </w:r>
      <w:r>
        <w:rPr>
          <w:rFonts w:hint="eastAsia"/>
          <w:color w:val="auto"/>
          <w:highlight w:val="none"/>
          <w:shd w:val="clear" w:color="auto" w:fill="auto"/>
        </w:rPr>
        <w:t>预防G1、G2、G3、G4及含P1A[8]的G血清型引起的重度度轮状病毒胃肠炎的保护效力为</w:t>
      </w:r>
      <w:r>
        <w:rPr>
          <w:rFonts w:hint="eastAsia"/>
          <w:color w:val="auto"/>
          <w:highlight w:val="none"/>
          <w:u w:val="single"/>
          <w:shd w:val="clear" w:color="auto" w:fill="auto"/>
        </w:rPr>
        <w:t xml:space="preserve">   </w:t>
      </w:r>
      <w:r>
        <w:rPr>
          <w:rFonts w:hint="eastAsia"/>
          <w:color w:val="auto"/>
          <w:highlight w:val="none"/>
          <w:shd w:val="clear" w:color="auto" w:fill="auto"/>
        </w:rPr>
        <w:t>%：</w:t>
      </w:r>
      <w:r>
        <w:rPr>
          <w:rFonts w:hint="eastAsia"/>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69.3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88.3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98.6</w:t>
      </w:r>
    </w:p>
    <w:p>
      <w:pPr>
        <w:pStyle w:val="8"/>
        <w:numPr>
          <w:ilvl w:val="0"/>
          <w:numId w:val="0"/>
        </w:numPr>
        <w:ind w:left="420" w:leftChars="0" w:right="0" w:rightChars="0"/>
        <w:rPr>
          <w:rFonts w:hint="eastAsia"/>
          <w:color w:val="auto"/>
          <w:highlight w:val="none"/>
          <w:shd w:val="clear" w:color="auto" w:fill="auto"/>
          <w:lang w:val="en-US" w:eastAsia="zh-CN"/>
        </w:rPr>
      </w:pPr>
    </w:p>
    <w:p>
      <w:pPr>
        <w:pStyle w:val="8"/>
        <w:numPr>
          <w:ilvl w:val="0"/>
          <w:numId w:val="1"/>
        </w:numPr>
        <w:ind w:firstLineChars="0"/>
        <w:rPr>
          <w:b/>
          <w:color w:val="auto"/>
          <w:highlight w:val="none"/>
          <w:shd w:val="clear" w:color="auto" w:fill="auto"/>
        </w:rPr>
      </w:pPr>
      <w:r>
        <w:rPr>
          <w:rStyle w:val="6"/>
          <w:rtl w:val="0"/>
        </w:rPr>
        <w:t>中国III期临床试验证实：对6-12周龄符合方案分析集(PPS)的健康婴儿，五价轮苗预防G9引起的重度轮状病毒胃肠炎的保护效力达到</w:t>
      </w:r>
      <w:r>
        <w:rPr>
          <w:rFonts w:hint="eastAsia"/>
          <w:color w:val="auto"/>
          <w:highlight w:val="none"/>
          <w:u w:val="single"/>
          <w:shd w:val="clear" w:color="auto" w:fill="auto"/>
        </w:rPr>
        <w:t xml:space="preserve">   </w:t>
      </w:r>
      <w:r>
        <w:rPr>
          <w:rFonts w:hint="eastAsia"/>
          <w:color w:val="auto"/>
          <w:highlight w:val="none"/>
          <w:shd w:val="clear" w:color="auto" w:fill="auto"/>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69.3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88.3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98.6</w:t>
      </w:r>
    </w:p>
    <w:p>
      <w:pPr>
        <w:pStyle w:val="8"/>
        <w:numPr>
          <w:ilvl w:val="0"/>
          <w:numId w:val="0"/>
        </w:numPr>
        <w:ind w:left="420" w:leftChars="0"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对RV5接种程序，描述正确的有：</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全程免疫共3剂</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6-12周龄时开始口服第1剂</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每剂接种间隔4-10周</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第3剂接种不应晚于32周龄</w:t>
      </w:r>
    </w:p>
    <w:p>
      <w:pPr>
        <w:pStyle w:val="8"/>
        <w:numPr>
          <w:ilvl w:val="0"/>
          <w:numId w:val="0"/>
        </w:numPr>
        <w:ind w:left="420" w:leftChars="0"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根据一项2012-2013年美国真实世界研究显示：五价轮状病毒疫苗接种后能保护多少年</w:t>
      </w:r>
      <w:r>
        <w:rPr>
          <w:rFonts w:hint="eastAsia"/>
          <w:color w:val="auto"/>
          <w:highlight w:val="none"/>
          <w:shd w:val="clear" w:color="auto" w:fill="auto"/>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8</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乐儿德接种禁忌有哪些：</w:t>
      </w:r>
      <w:r>
        <w:rPr>
          <w:rFonts w:hint="eastAsia"/>
          <w:b/>
          <w:color w:val="auto"/>
          <w:highlight w:val="none"/>
          <w:shd w:val="clear" w:color="auto" w:fill="auto"/>
          <w:lang w:val="en-US" w:eastAsia="zh-CN"/>
        </w:rPr>
        <w:t>abc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超敏反应：对于本品任何成分出现超敏反应者。接种一剂本品后出现疑似超敏症状的婴儿，不应继续接种剩余剂次.</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严重联合免疫缺陷疾病： 禁止严重联合免疫缺陷疾病(SCID)患儿接种本品.</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肠套叠既往史：禁止具有肠套叠既往史婴儿接种本品.</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存在胃肠道功能紊乱史的婴儿.</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关于乐儿德为什么要从6周龄尽早接种，描述正确的是：</w:t>
      </w:r>
      <w:r>
        <w:rPr>
          <w:rFonts w:hint="eastAsia"/>
          <w:b/>
          <w:color w:val="auto"/>
          <w:highlight w:val="none"/>
          <w:shd w:val="clear" w:color="auto" w:fill="auto"/>
          <w:lang w:val="en-US" w:eastAsia="zh-CN"/>
        </w:rPr>
        <w:t>abcd</w:t>
      </w:r>
    </w:p>
    <w:p>
      <w:pPr>
        <w:pStyle w:val="8"/>
        <w:numPr>
          <w:ilvl w:val="1"/>
          <w:numId w:val="1"/>
        </w:numPr>
        <w:ind w:firstLineChars="0"/>
        <w:rPr>
          <w:rFonts w:hint="default"/>
          <w:b w:val="0"/>
          <w:bCs w:val="0"/>
          <w:lang w:val="en-US" w:eastAsia="zh-CN"/>
        </w:rPr>
      </w:pPr>
      <w:r>
        <w:rPr>
          <w:rFonts w:hint="default"/>
          <w:b w:val="0"/>
          <w:bCs w:val="0"/>
          <w:lang w:val="en-US" w:eastAsia="zh-CN"/>
        </w:rPr>
        <w:t>一项回顾性研究结果显示，轮状病毒感染常见于婴儿出生后6个月内，小宝宝是易感人群。</w:t>
      </w:r>
    </w:p>
    <w:p>
      <w:pPr>
        <w:pStyle w:val="8"/>
        <w:numPr>
          <w:ilvl w:val="1"/>
          <w:numId w:val="1"/>
        </w:numPr>
        <w:ind w:firstLineChars="0"/>
        <w:rPr>
          <w:rFonts w:hint="default"/>
          <w:b w:val="0"/>
          <w:bCs w:val="0"/>
          <w:lang w:val="en-US" w:eastAsia="zh-CN"/>
        </w:rPr>
      </w:pPr>
      <w:r>
        <w:rPr>
          <w:rFonts w:hint="default"/>
          <w:b w:val="0"/>
          <w:bCs w:val="0"/>
          <w:lang w:val="en-US" w:eastAsia="zh-CN"/>
        </w:rPr>
        <w:t>从死亡角度，WHO也强调轮状病毒所致死亡主要发生在≤1岁婴儿。</w:t>
      </w:r>
    </w:p>
    <w:p>
      <w:pPr>
        <w:pStyle w:val="8"/>
        <w:numPr>
          <w:ilvl w:val="1"/>
          <w:numId w:val="1"/>
        </w:numPr>
        <w:ind w:firstLineChars="0"/>
        <w:rPr>
          <w:rFonts w:hint="default"/>
          <w:b w:val="0"/>
          <w:bCs w:val="0"/>
          <w:lang w:val="en-US" w:eastAsia="zh-CN"/>
        </w:rPr>
      </w:pPr>
      <w:r>
        <w:rPr>
          <w:rFonts w:hint="default"/>
          <w:b w:val="0"/>
          <w:bCs w:val="0"/>
          <w:lang w:val="en-US" w:eastAsia="zh-CN"/>
        </w:rPr>
        <w:t>一项纵向研究结果显示，轮状病毒初次感染的严重程度明显重于后续感染。</w:t>
      </w:r>
    </w:p>
    <w:p>
      <w:pPr>
        <w:pStyle w:val="8"/>
        <w:numPr>
          <w:ilvl w:val="1"/>
          <w:numId w:val="1"/>
        </w:numPr>
        <w:ind w:firstLineChars="0"/>
        <w:rPr>
          <w:color w:val="auto"/>
          <w:highlight w:val="none"/>
          <w:shd w:val="clear" w:color="auto" w:fill="auto"/>
        </w:rPr>
      </w:pPr>
      <w:r>
        <w:rPr>
          <w:rFonts w:hint="default"/>
          <w:b w:val="0"/>
          <w:bCs w:val="0"/>
          <w:lang w:val="en-US" w:eastAsia="zh-CN"/>
        </w:rPr>
        <w:t>年龄越小的宝宝越容易发生脱水，提示预防初次感染的重要性</w:t>
      </w:r>
      <w:r>
        <w:rPr>
          <w:rFonts w:hint="eastAsia"/>
          <w:b w:val="0"/>
          <w:bCs w:val="0"/>
          <w:lang w:val="en-US" w:eastAsia="zh-CN"/>
        </w:rPr>
        <w:t>。</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轮状病毒疫苗WHO立场文件（2021年版）细化乐儿德同时接种操作建议，下列描述正确的是：</w:t>
      </w:r>
      <w:r>
        <w:rPr>
          <w:rFonts w:hint="eastAsia"/>
          <w:b/>
          <w:color w:val="auto"/>
          <w:highlight w:val="none"/>
          <w:shd w:val="clear" w:color="auto" w:fill="auto"/>
          <w:lang w:val="en-US" w:eastAsia="zh-CN"/>
        </w:rPr>
        <w:t>abcd</w:t>
      </w:r>
    </w:p>
    <w:p>
      <w:pPr>
        <w:pStyle w:val="8"/>
        <w:numPr>
          <w:ilvl w:val="1"/>
          <w:numId w:val="1"/>
        </w:numPr>
        <w:ind w:firstLineChars="0"/>
        <w:rPr>
          <w:rFonts w:hint="default"/>
          <w:b w:val="0"/>
          <w:bCs w:val="0"/>
          <w:lang w:val="en-US" w:eastAsia="zh-CN"/>
        </w:rPr>
      </w:pPr>
      <w:r>
        <w:rPr>
          <w:rFonts w:hint="default"/>
          <w:b w:val="0"/>
          <w:bCs w:val="0"/>
          <w:lang w:val="en-US" w:eastAsia="zh-CN"/>
        </w:rPr>
        <w:t>乐儿德可与儿童免疫规划内的其他疫苗同时接种</w:t>
      </w:r>
    </w:p>
    <w:p>
      <w:pPr>
        <w:pStyle w:val="8"/>
        <w:numPr>
          <w:ilvl w:val="1"/>
          <w:numId w:val="1"/>
        </w:numPr>
        <w:ind w:firstLineChars="0"/>
        <w:rPr>
          <w:rFonts w:hint="default"/>
          <w:b w:val="0"/>
          <w:bCs w:val="0"/>
          <w:lang w:val="en-US" w:eastAsia="zh-CN"/>
        </w:rPr>
      </w:pPr>
      <w:r>
        <w:rPr>
          <w:rFonts w:hint="default"/>
          <w:b w:val="0"/>
          <w:bCs w:val="0"/>
          <w:lang w:val="en-US" w:eastAsia="zh-CN"/>
        </w:rPr>
        <w:t>乐儿德与其他疫苗同时接种不干扰免疫应答</w:t>
      </w:r>
    </w:p>
    <w:p>
      <w:pPr>
        <w:pStyle w:val="8"/>
        <w:numPr>
          <w:ilvl w:val="1"/>
          <w:numId w:val="1"/>
        </w:numPr>
        <w:ind w:firstLineChars="0"/>
        <w:rPr>
          <w:rFonts w:hint="default"/>
          <w:b w:val="0"/>
          <w:bCs w:val="0"/>
          <w:lang w:val="en-US" w:eastAsia="zh-CN"/>
        </w:rPr>
      </w:pPr>
      <w:r>
        <w:rPr>
          <w:rFonts w:hint="default"/>
          <w:b w:val="0"/>
          <w:bCs w:val="0"/>
          <w:lang w:val="en-US" w:eastAsia="zh-CN"/>
        </w:rPr>
        <w:t>乐儿德与其他疫苗同时接种不影响安全性</w:t>
      </w:r>
    </w:p>
    <w:p>
      <w:pPr>
        <w:pStyle w:val="8"/>
        <w:numPr>
          <w:ilvl w:val="1"/>
          <w:numId w:val="1"/>
        </w:numPr>
        <w:ind w:firstLineChars="0"/>
        <w:rPr>
          <w:color w:val="auto"/>
          <w:highlight w:val="none"/>
          <w:shd w:val="clear" w:color="auto" w:fill="auto"/>
        </w:rPr>
      </w:pPr>
      <w:r>
        <w:rPr>
          <w:rFonts w:hint="default"/>
          <w:b w:val="0"/>
          <w:bCs w:val="0"/>
          <w:lang w:val="en-US" w:eastAsia="zh-CN"/>
        </w:rPr>
        <w:t>由于乐儿德含有蔗糖，可减轻疼痛，建议在同时接种其他注射类疫苗之前先接种轮状病毒疫苗</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2020年中国疑似预防接种异常反应（AEFI）监测数据显示：2020年中国AEFI报告中，五价轮苗AEFI报告发生率为（）/万剂：</w:t>
      </w:r>
      <w:r>
        <w:rPr>
          <w:rFonts w:hint="eastAsia"/>
          <w:b/>
          <w:color w:val="auto"/>
          <w:highlight w:val="none"/>
          <w:shd w:val="clear" w:color="auto" w:fill="auto"/>
          <w:lang w:val="en-US" w:eastAsia="zh-CN"/>
        </w:rPr>
        <w:t>a</w:t>
      </w:r>
    </w:p>
    <w:p>
      <w:pPr>
        <w:pStyle w:val="8"/>
        <w:numPr>
          <w:ilvl w:val="1"/>
          <w:numId w:val="1"/>
        </w:numPr>
        <w:ind w:firstLineChars="0"/>
        <w:rPr>
          <w:rFonts w:hint="default"/>
          <w:b w:val="0"/>
          <w:bCs w:val="0"/>
          <w:lang w:val="en-US" w:eastAsia="zh-CN"/>
        </w:rPr>
      </w:pPr>
      <w:r>
        <w:rPr>
          <w:rFonts w:hint="eastAsia"/>
          <w:b w:val="0"/>
          <w:bCs w:val="0"/>
          <w:lang w:val="en-US" w:eastAsia="zh-CN"/>
        </w:rPr>
        <w:t>14.37</w:t>
      </w:r>
    </w:p>
    <w:p>
      <w:pPr>
        <w:pStyle w:val="8"/>
        <w:numPr>
          <w:ilvl w:val="1"/>
          <w:numId w:val="1"/>
        </w:numPr>
        <w:ind w:firstLineChars="0"/>
        <w:rPr>
          <w:rFonts w:hint="default"/>
          <w:b w:val="0"/>
          <w:bCs w:val="0"/>
          <w:lang w:val="en-US" w:eastAsia="zh-CN"/>
        </w:rPr>
      </w:pPr>
      <w:r>
        <w:rPr>
          <w:rFonts w:hint="eastAsia"/>
          <w:b w:val="0"/>
          <w:bCs w:val="0"/>
          <w:lang w:val="en-US" w:eastAsia="zh-CN"/>
        </w:rPr>
        <w:t>40.94</w:t>
      </w:r>
    </w:p>
    <w:p>
      <w:pPr>
        <w:pStyle w:val="8"/>
        <w:numPr>
          <w:ilvl w:val="1"/>
          <w:numId w:val="1"/>
        </w:numPr>
        <w:ind w:firstLineChars="0"/>
        <w:rPr>
          <w:rFonts w:hint="default"/>
          <w:b w:val="0"/>
          <w:bCs w:val="0"/>
          <w:lang w:val="en-US" w:eastAsia="zh-CN"/>
        </w:rPr>
      </w:pPr>
      <w:r>
        <w:rPr>
          <w:rFonts w:hint="eastAsia"/>
          <w:b w:val="0"/>
          <w:bCs w:val="0"/>
          <w:lang w:val="en-US" w:eastAsia="zh-CN"/>
        </w:rPr>
        <w:t>78.02</w:t>
      </w:r>
    </w:p>
    <w:p>
      <w:pPr>
        <w:pStyle w:val="8"/>
        <w:numPr>
          <w:ilvl w:val="1"/>
          <w:numId w:val="1"/>
        </w:numPr>
        <w:ind w:firstLineChars="0"/>
        <w:rPr>
          <w:color w:val="auto"/>
          <w:highlight w:val="none"/>
          <w:shd w:val="clear" w:color="auto" w:fill="auto"/>
        </w:rPr>
      </w:pPr>
      <w:r>
        <w:rPr>
          <w:rFonts w:hint="eastAsia"/>
          <w:b w:val="0"/>
          <w:bCs w:val="0"/>
          <w:lang w:val="en-US" w:eastAsia="zh-CN"/>
        </w:rPr>
        <w:t>143.52</w:t>
      </w: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孩子有点发烧，能否继续接种乐儿德？以下叙述正确的是：</w:t>
      </w:r>
      <w:r>
        <w:rPr>
          <w:rFonts w:hint="eastAsia"/>
          <w:b/>
          <w:color w:val="auto"/>
          <w:highlight w:val="none"/>
          <w:shd w:val="clear" w:color="auto" w:fill="auto"/>
          <w:lang w:val="en-US" w:eastAsia="zh-CN"/>
        </w:rPr>
        <w:t>abc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根据中国说明书，发热性疾病可能是延迟接种的原因，除非医生认为暂停接种本品会造成更大的风险。</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根据2009年美国ACIP推荐，如果有轻度的呼吸道疾病或其他伴有或不伴有发烧的轻度急性疾病，不应推迟接种疫苗。</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具体是否可以接种需要医疗卫生专业人士根据个体情况综合评估。</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根据WHO推荐，不高于39度，可以接种。</w:t>
      </w:r>
    </w:p>
    <w:p>
      <w:pPr>
        <w:pStyle w:val="8"/>
        <w:numPr>
          <w:ilvl w:val="0"/>
          <w:numId w:val="0"/>
        </w:numPr>
        <w:ind w:left="420" w:leftChars="0"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孩子有点腹泻，能否继续接种乐儿德？以下叙述正确的是：</w:t>
      </w:r>
      <w:r>
        <w:rPr>
          <w:rFonts w:hint="eastAsia"/>
          <w:b/>
          <w:color w:val="auto"/>
          <w:highlight w:val="none"/>
          <w:shd w:val="clear" w:color="auto" w:fill="auto"/>
          <w:lang w:val="en-US" w:eastAsia="zh-CN"/>
        </w:rPr>
        <w:t>abd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中国说明书，对于存在胃肠道功能紊乱史的婴儿，包括活动性急性胃肠道疾病、慢性腹泻和生长发育迟缓，以及先天性腹部异常和腹部手术史的婴儿，尚无相关的疫苗安全性或保护效力数据。需谨慎考虑对这些婴儿接种本品。</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具体是否可以接种需要医疗卫生专业人士根据个体情况综合评估。</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谨慎起见，需要停止接种。</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根据2009年美国ACIP推荐，在通常情况下，急性中度或重度胃肠炎的婴儿不应该接种轮状病毒疫苗，直至病情好转。 然而，患有轻度急性胃肠炎的婴儿可以接种疫苗，尤其当延迟接种可能会导致婴儿超过接种适应年龄时。</w:t>
      </w:r>
    </w:p>
    <w:p>
      <w:pPr>
        <w:pStyle w:val="8"/>
        <w:numPr>
          <w:ilvl w:val="0"/>
          <w:numId w:val="0"/>
        </w:numPr>
        <w:ind w:left="420" w:leftChars="0"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早产儿可以接种乐儿德吗？以下叙述正确的是：</w:t>
      </w:r>
      <w:r>
        <w:rPr>
          <w:rFonts w:hint="eastAsia"/>
          <w:b/>
          <w:color w:val="auto"/>
          <w:highlight w:val="none"/>
          <w:shd w:val="clear" w:color="auto" w:fill="auto"/>
          <w:lang w:val="en-US" w:eastAsia="zh-CN"/>
        </w:rPr>
        <w:t>abc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根据2018年中国特殊健康状态儿童预防接种专家共识，早产儿可以接种各类疫苗。</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根据2009年美国ACIP推荐，认为早产儿接种轮状病毒疫苗的益处胜过不良事件风险，ACIP支持早产儿按照与足月儿相同的程序和注意事项接种轮状病毒疫苗。</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并非疫苗禁忌症，具体是否可以接种需要医疗卫生专业人士根据个体情况综合评估。</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体重过轻的早产儿不能接种乐儿德。</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婴幼儿出现肛周脓肿可以接种乐儿德吗？：</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可以，肛周脓肿一般由擦拭造成，并非疫苗禁忌症。</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不可以，肛周脓肿说明免疫功能低下，不能接种。</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根据2018年中国特殊健康状态儿童预防接种专家共识，肛周脓肿患者，在检查后如有免疫功能缺陷，减毒活疫苗的接种需要慎重决策。</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只要婴幼儿近期接种过卡介苗，无不良反应，说明免疫功能良好，可以接种。</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有黄疸的婴幼儿可以接种乐儿德吗？：</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根据2018年中国特殊健康状态儿童预防接种专家共识，生理性黄疸、母乳性黄疸患儿身体健康状况良好，可按免疫程序接种疫苗。</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根据2018年中国特殊健康状态儿童预防接种专家共识，病理性黄疸患儿需及时查明病因，暂缓接种。</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WHO在1988年认为，出生后黄疸是接种疫苗的假禁忌症。</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具体是否可以接种需要医疗卫生专业人士根据个体情况综合评估。</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rPr>
        <w:t>2018年发布的ICO中国HPV和相关疾病报告显示，HPV52/58型别在中国宫颈癌中的占比为 ( )%，高于全球宫颈癌占比：</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7.4</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rPr>
        <w:t>14.</w:t>
      </w:r>
      <w:r>
        <w:t>7</w:t>
      </w:r>
    </w:p>
    <w:p>
      <w:pPr>
        <w:pStyle w:val="8"/>
        <w:numPr>
          <w:ilvl w:val="1"/>
          <w:numId w:val="1"/>
        </w:numPr>
        <w:ind w:firstLineChars="0"/>
        <w:rPr>
          <w:color w:val="auto"/>
          <w:highlight w:val="none"/>
          <w:shd w:val="clear" w:color="auto" w:fill="auto"/>
        </w:rPr>
      </w:pPr>
      <w:r>
        <w:rPr>
          <w:rFonts w:hint="eastAsia"/>
          <w:lang w:val="en-US" w:eastAsia="zh-CN"/>
        </w:rPr>
        <w:t>15.6</w:t>
      </w:r>
    </w:p>
    <w:p>
      <w:pPr>
        <w:pStyle w:val="8"/>
        <w:numPr>
          <w:ilvl w:val="1"/>
          <w:numId w:val="1"/>
        </w:numPr>
        <w:ind w:firstLineChars="0"/>
        <w:rPr>
          <w:color w:val="auto"/>
          <w:highlight w:val="none"/>
          <w:shd w:val="clear" w:color="auto" w:fill="auto"/>
        </w:rPr>
      </w:pPr>
      <w:r>
        <w:rPr>
          <w:rFonts w:hint="eastAsia"/>
          <w:lang w:val="en-US" w:eastAsia="zh-CN"/>
        </w:rPr>
        <w:t>28.6</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对20-45岁PPE女性人群随访78个月的中国临床试验结果显示，佳达修对HPV16/18型相关的CIN2+保护效力高达</w:t>
      </w:r>
      <w:r>
        <w:rPr>
          <w:rFonts w:hint="eastAsia"/>
          <w:color w:val="auto"/>
          <w:highlight w:val="none"/>
          <w:u w:val="single"/>
          <w:shd w:val="clear" w:color="auto" w:fill="auto"/>
          <w:lang w:val="en-US" w:eastAsia="zh-CN"/>
        </w:rPr>
        <w:t xml:space="preserve">    </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a</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100%</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91%</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对16-26岁东亚女性PPE人群的亚组分析结果显示，佳达修9对HPV31/33/45/52/58型相关的CIN1+保护效力高达</w:t>
      </w:r>
      <w:r>
        <w:rPr>
          <w:rFonts w:hint="eastAsia"/>
          <w:color w:val="auto"/>
          <w:highlight w:val="none"/>
          <w:u w:val="single"/>
          <w:shd w:val="clear" w:color="auto" w:fill="auto"/>
          <w:lang w:val="en-US" w:eastAsia="zh-CN"/>
        </w:rPr>
        <w:t xml:space="preserve">    </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a</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100%</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91%</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一项纳入了2084名来自丹麦、挪威、瑞典及冰岛的已接种四价HPV疫苗的16-23岁女性PPE人群的长期随访研究显示：随访</w:t>
      </w:r>
      <w:r>
        <w:rPr>
          <w:rFonts w:hint="eastAsia"/>
          <w:color w:val="auto"/>
          <w:highlight w:val="none"/>
          <w:u w:val="single"/>
          <w:shd w:val="clear" w:color="auto" w:fill="auto"/>
          <w:lang w:val="en-US" w:eastAsia="zh-CN"/>
        </w:rPr>
        <w:t xml:space="preserve">     </w:t>
      </w:r>
      <w:r>
        <w:rPr>
          <w:rFonts w:hint="eastAsia"/>
          <w:color w:val="auto"/>
          <w:highlight w:val="none"/>
          <w:shd w:val="clear" w:color="auto" w:fill="auto"/>
          <w:lang w:val="en-US" w:eastAsia="zh-CN"/>
        </w:rPr>
        <w:t>，发现0例HPV16/18型相关CIN2+：</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6.5年</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7.6年</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10年</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14年</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 xml:space="preserve"> 2020年一项纳入近170万女性的瑞典真实世界研究显示：追踪2006-2017年间近170万名10-30岁女性信息，与未接种者相比，至少接种1剂四价HPV疫苗的女性浸润性子宫颈癌发病率显著降低，在17岁之前接种的女性获益更显著，浸润性子宫颈癌发病率降低达</w:t>
      </w:r>
      <w:r>
        <w:rPr>
          <w:rFonts w:hint="eastAsia"/>
          <w:color w:val="auto"/>
          <w:highlight w:val="none"/>
          <w:u w:val="single"/>
          <w:shd w:val="clear" w:color="auto" w:fill="auto"/>
          <w:lang w:val="en-US" w:eastAsia="zh-CN"/>
        </w:rPr>
        <w:t xml:space="preserve">    </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88</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100</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佳达修9的保护时限尚未完全确立，在研究001的长期扩展研究中，佳达修9对高级别宫颈病变的保护效力在接种3剂之后长达</w:t>
      </w:r>
      <w:r>
        <w:rPr>
          <w:rFonts w:hint="eastAsia"/>
          <w:color w:val="auto"/>
          <w:highlight w:val="none"/>
          <w:u w:val="single"/>
          <w:shd w:val="clear" w:color="auto" w:fill="auto"/>
          <w:lang w:val="en-US" w:eastAsia="zh-CN"/>
        </w:rPr>
        <w:t xml:space="preserve">     </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6.5年</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7.6年</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10年</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14年</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关于佳达修9研发历程，下列描述错误的是：：</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2014年12月全球首次获批上市，用于9-26岁女性</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2018年4月中国境内首次获批上市，用于16-26岁女性</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2020年12月FDA批准扩展接种对象至9-45岁人群</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2022年8月中国境内扩展接种对象至9-45岁女性</w:t>
      </w:r>
    </w:p>
    <w:p>
      <w:pPr>
        <w:pStyle w:val="8"/>
        <w:numPr>
          <w:ilvl w:val="0"/>
          <w:numId w:val="0"/>
        </w:numPr>
        <w:ind w:left="420" w:leftChars="0"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关于佳达修及佳达修9说明书中内容，下列选项错误的是：</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对疫苗的活性成份或任何辅料成份有超敏反应者禁用。</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注射本品后有超敏反应症状者，可以再次接种本品。</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本疫苗接种不能取代常规宫颈癌筛查，也不能取代预防HPV感染和性传播疾病的其他措施。</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本品仅用于预防用途，不适用于治疗已经发生的HPV相关病变，也不能防止病变的进展。</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关于HPV疫苗所包含的价次，描述正确的是：</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Fonts w:hint="eastAsia"/>
          <w:b w:val="0"/>
          <w:bCs w:val="0"/>
          <w:lang w:val="en-US" w:eastAsia="zh-CN"/>
        </w:rPr>
        <w:t>HPV病毒根据致癌性分为高危型及低危型，HPV疫苗所含价次越多，保护越全面。</w:t>
      </w:r>
    </w:p>
    <w:p>
      <w:pPr>
        <w:pStyle w:val="8"/>
        <w:numPr>
          <w:ilvl w:val="1"/>
          <w:numId w:val="1"/>
        </w:numPr>
        <w:ind w:firstLineChars="0"/>
        <w:rPr>
          <w:color w:val="auto"/>
          <w:highlight w:val="none"/>
          <w:shd w:val="clear" w:color="auto" w:fill="auto"/>
        </w:rPr>
      </w:pPr>
      <w:r>
        <w:rPr>
          <w:rFonts w:hint="eastAsia"/>
          <w:lang w:val="en-US" w:eastAsia="zh-CN"/>
        </w:rPr>
        <w:t>HPV</w:t>
      </w:r>
      <w:r>
        <w:rPr>
          <w:rFonts w:hint="eastAsia"/>
        </w:rPr>
        <w:t>16</w:t>
      </w:r>
      <w:r>
        <w:rPr>
          <w:rFonts w:hint="eastAsia"/>
          <w:lang w:eastAsia="zh-CN"/>
        </w:rPr>
        <w:t>、</w:t>
      </w:r>
      <w:r>
        <w:rPr>
          <w:rFonts w:hint="eastAsia"/>
          <w:lang w:val="en-US" w:eastAsia="zh-CN"/>
        </w:rPr>
        <w:t>HPV</w:t>
      </w:r>
      <w:r>
        <w:rPr>
          <w:rFonts w:hint="eastAsia"/>
        </w:rPr>
        <w:t>18</w:t>
      </w:r>
      <w:r>
        <w:rPr>
          <w:rFonts w:hint="eastAsia"/>
          <w:lang w:val="en-US" w:eastAsia="zh-CN"/>
        </w:rPr>
        <w:t>是最常见的</w:t>
      </w:r>
      <w:r>
        <w:rPr>
          <w:rFonts w:hint="eastAsia"/>
        </w:rPr>
        <w:t>两个高危型</w:t>
      </w:r>
      <w:r>
        <w:rPr>
          <w:rFonts w:hint="eastAsia"/>
          <w:lang w:eastAsia="zh-CN"/>
        </w:rPr>
        <w:t>，</w:t>
      </w:r>
      <w:r>
        <w:rPr>
          <w:rFonts w:hint="eastAsia"/>
          <w:lang w:val="en-US" w:eastAsia="zh-CN"/>
        </w:rPr>
        <w:t>导致约70%的宫颈</w:t>
      </w:r>
      <w:r>
        <w:rPr>
          <w:rFonts w:hint="eastAsia"/>
        </w:rPr>
        <w:t>癌</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Fonts w:hint="eastAsia"/>
          <w:lang w:val="en-US" w:eastAsia="zh-CN"/>
        </w:rPr>
        <w:t>HPV</w:t>
      </w:r>
      <w:r>
        <w:rPr>
          <w:rFonts w:hint="eastAsia"/>
        </w:rPr>
        <w:t>6</w:t>
      </w:r>
      <w:r>
        <w:rPr>
          <w:rFonts w:hint="eastAsia"/>
          <w:lang w:eastAsia="zh-CN"/>
        </w:rPr>
        <w:t>、</w:t>
      </w:r>
      <w:r>
        <w:rPr>
          <w:rFonts w:hint="eastAsia"/>
          <w:lang w:val="en-US" w:eastAsia="zh-CN"/>
        </w:rPr>
        <w:t>HPV</w:t>
      </w:r>
      <w:r>
        <w:rPr>
          <w:rFonts w:hint="eastAsia"/>
        </w:rPr>
        <w:t>1</w:t>
      </w:r>
      <w:r>
        <w:rPr>
          <w:rFonts w:hint="eastAsia"/>
          <w:lang w:val="en-US" w:eastAsia="zh-CN"/>
        </w:rPr>
        <w:t>1是最常见的低危</w:t>
      </w:r>
      <w:r>
        <w:rPr>
          <w:rFonts w:hint="eastAsia"/>
        </w:rPr>
        <w:t>型</w:t>
      </w:r>
      <w:r>
        <w:rPr>
          <w:rFonts w:hint="eastAsia"/>
          <w:lang w:eastAsia="zh-CN"/>
        </w:rPr>
        <w:t>，</w:t>
      </w:r>
      <w:r>
        <w:rPr>
          <w:rFonts w:hint="eastAsia"/>
          <w:lang w:val="en-US" w:eastAsia="zh-CN"/>
        </w:rPr>
        <w:t>可以导致生殖器疣、肛门疣、呼吸道乳头状瘤等</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Fonts w:hint="eastAsia"/>
          <w:lang w:val="en-US" w:eastAsia="zh-CN"/>
        </w:rPr>
        <w:t>中国</w:t>
      </w:r>
      <w:r>
        <w:rPr>
          <w:rFonts w:hint="eastAsia"/>
        </w:rPr>
        <w:t>境内临床试验尚未证实</w:t>
      </w:r>
      <w:r>
        <w:rPr>
          <w:rFonts w:hint="eastAsia"/>
          <w:lang w:val="en-US" w:eastAsia="zh-CN"/>
        </w:rPr>
        <w:t>四九价</w:t>
      </w:r>
      <w:r>
        <w:rPr>
          <w:rFonts w:hint="eastAsia"/>
        </w:rPr>
        <w:t>对低危HPV6/11型相关疾病的保护效果。</w:t>
      </w:r>
      <w:r>
        <w:rPr>
          <w:rFonts w:hint="eastAsia"/>
          <w:lang w:val="en-US" w:eastAsia="zh-CN"/>
        </w:rPr>
        <w:t>但在国外很多国家获批了预防6和11型所导致的疾病的适应症。</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关于HPV疫苗交叉保护作用，描述正确的是：</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Fonts w:hint="default"/>
          <w:b w:val="0"/>
          <w:bCs w:val="0"/>
          <w:lang w:val="en-US" w:eastAsia="zh-CN"/>
        </w:rPr>
        <w:t>二价和四价HPV疫苗都可对除16和18型别以外的高危HPV型别提供一定程度的交叉保护，尤其是31、33和45型别</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Fonts w:hint="default"/>
          <w:b w:val="0"/>
          <w:bCs w:val="0"/>
          <w:lang w:val="en-US" w:eastAsia="zh-CN"/>
        </w:rPr>
        <w:t>与疫苗型别的保护效力相比，交叉保护效力不持久，且随时间会减退。</w:t>
      </w:r>
    </w:p>
    <w:p>
      <w:pPr>
        <w:pStyle w:val="8"/>
        <w:numPr>
          <w:ilvl w:val="1"/>
          <w:numId w:val="1"/>
        </w:numPr>
        <w:ind w:firstLineChars="0"/>
        <w:rPr>
          <w:color w:val="auto"/>
          <w:highlight w:val="none"/>
          <w:shd w:val="clear" w:color="auto" w:fill="auto"/>
        </w:rPr>
      </w:pPr>
      <w:r>
        <w:rPr>
          <w:rFonts w:hint="default"/>
          <w:b w:val="0"/>
          <w:bCs w:val="0"/>
          <w:lang w:val="en-US" w:eastAsia="zh-CN"/>
        </w:rPr>
        <w:t>与疫苗型别的保护效力相比，对非疫苗型别的保护效力较低，且在不同研究中结果不一致</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Fonts w:hint="default"/>
          <w:b w:val="0"/>
          <w:bCs w:val="0"/>
          <w:lang w:val="en-US" w:eastAsia="zh-CN"/>
        </w:rPr>
        <w:t>目前为止，交叉保护为事后分析所得，所有HPV疫苗对于非疫苗型别的保护效力还没有被批准作为疫苗适应症</w:t>
      </w:r>
      <w:r>
        <w:rPr>
          <w:rFonts w:hint="eastAsia"/>
          <w:b w:val="0"/>
          <w:bCs w:val="0"/>
          <w:lang w:val="en-US" w:eastAsia="zh-CN"/>
        </w:rPr>
        <w:t>。</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关于HPV疫苗交叉保护作用，描述正确的是：</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Fonts w:hint="default"/>
          <w:b w:val="0"/>
          <w:bCs w:val="0"/>
          <w:lang w:val="en-US" w:eastAsia="zh-CN"/>
        </w:rPr>
        <w:t>二价和四价HPV疫苗都可对除16和18型别以外的高危HPV型别提供一定程度的交叉保护，尤其是31、33和45型别</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Fonts w:hint="default"/>
          <w:b w:val="0"/>
          <w:bCs w:val="0"/>
          <w:lang w:val="en-US" w:eastAsia="zh-CN"/>
        </w:rPr>
        <w:t>与疫苗型别的保护效力相比，交叉保护效力不持久，且随时间会减退。</w:t>
      </w:r>
    </w:p>
    <w:p>
      <w:pPr>
        <w:pStyle w:val="8"/>
        <w:numPr>
          <w:ilvl w:val="1"/>
          <w:numId w:val="1"/>
        </w:numPr>
        <w:ind w:firstLineChars="0"/>
        <w:rPr>
          <w:color w:val="auto"/>
          <w:highlight w:val="none"/>
          <w:shd w:val="clear" w:color="auto" w:fill="auto"/>
        </w:rPr>
      </w:pPr>
      <w:r>
        <w:rPr>
          <w:rFonts w:hint="default"/>
          <w:b w:val="0"/>
          <w:bCs w:val="0"/>
          <w:lang w:val="en-US" w:eastAsia="zh-CN"/>
        </w:rPr>
        <w:t>与疫苗型别的保护效力相比，对非疫苗型别的保护效力较低，且在不同研究中结果不一致</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Fonts w:hint="default"/>
          <w:b w:val="0"/>
          <w:bCs w:val="0"/>
          <w:lang w:val="en-US" w:eastAsia="zh-CN"/>
        </w:rPr>
        <w:t>目前为止，交叉保护为事后分析所得，所有HPV疫苗对于非疫苗型别的保护效力还没有被批准作为疫苗适应症</w:t>
      </w:r>
      <w:r>
        <w:rPr>
          <w:rFonts w:hint="eastAsia"/>
          <w:b w:val="0"/>
          <w:bCs w:val="0"/>
          <w:lang w:val="en-US" w:eastAsia="zh-CN"/>
        </w:rPr>
        <w:t>。</w:t>
      </w:r>
    </w:p>
    <w:p>
      <w:pPr>
        <w:pStyle w:val="8"/>
        <w:numPr>
          <w:ilvl w:val="0"/>
          <w:numId w:val="0"/>
        </w:numPr>
        <w:ind w:right="0" w:rightChars="0"/>
        <w:rPr>
          <w:rFonts w:hint="eastAsia"/>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一项2012年中国多中心研究显示：肺炎球菌在我国成人社区获得性呼吸道感染病原菌中占比高达</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30</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53</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64</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87</w:t>
      </w:r>
    </w:p>
    <w:p>
      <w:pPr>
        <w:pStyle w:val="8"/>
        <w:numPr>
          <w:ilvl w:val="0"/>
          <w:numId w:val="0"/>
        </w:numPr>
        <w:ind w:right="0" w:rightChars="0"/>
        <w:rPr>
          <w:rFonts w:hint="eastAsia"/>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一项中国系统性回顾和荟萃分析显示,在中国PPSV23包含的23种血清型覆盖了</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%导致IPD的血清型：</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30</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64</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87</w:t>
      </w:r>
    </w:p>
    <w:p>
      <w:pPr>
        <w:pStyle w:val="8"/>
        <w:numPr>
          <w:ilvl w:val="0"/>
          <w:numId w:val="0"/>
        </w:numPr>
        <w:ind w:right="0" w:rightChars="0"/>
        <w:rPr>
          <w:rFonts w:hint="eastAsia"/>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一项美国队列研究显示,纽莫法初种或复种后抗体水平持续</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年高于未接种人群：</w:t>
      </w:r>
      <w:r>
        <w:rPr>
          <w:rFonts w:hint="eastAsia"/>
          <w:b/>
          <w:bCs/>
          <w:color w:val="auto"/>
          <w:sz w:val="24"/>
          <w:szCs w:val="24"/>
          <w:lang w:val="en-US" w:eastAsia="zh-CN"/>
        </w:rPr>
        <w:t>c</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5</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7.6</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10</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14</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关于纽莫法产品优势描述正确的是：</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Fonts w:hint="eastAsia"/>
          <w:b w:val="0"/>
          <w:bCs w:val="0"/>
          <w:lang w:val="en-US" w:eastAsia="zh-CN"/>
        </w:rPr>
        <w:t>唯一原装进口23价肺炎链球菌多糖疫苗</w:t>
      </w:r>
    </w:p>
    <w:p>
      <w:pPr>
        <w:pStyle w:val="8"/>
        <w:numPr>
          <w:ilvl w:val="1"/>
          <w:numId w:val="1"/>
        </w:numPr>
        <w:ind w:firstLineChars="0"/>
        <w:rPr>
          <w:color w:val="auto"/>
          <w:highlight w:val="none"/>
          <w:shd w:val="clear" w:color="auto" w:fill="auto"/>
        </w:rPr>
      </w:pPr>
      <w:r>
        <w:rPr>
          <w:rFonts w:hint="eastAsia"/>
          <w:b w:val="0"/>
          <w:bCs w:val="0"/>
          <w:lang w:val="en-US" w:eastAsia="zh-CN"/>
        </w:rPr>
        <w:t>1983年在美国最早上市产品</w:t>
      </w:r>
    </w:p>
    <w:p>
      <w:pPr>
        <w:pStyle w:val="8"/>
        <w:numPr>
          <w:ilvl w:val="1"/>
          <w:numId w:val="1"/>
        </w:numPr>
        <w:ind w:firstLineChars="0"/>
        <w:rPr>
          <w:color w:val="auto"/>
          <w:highlight w:val="none"/>
          <w:shd w:val="clear" w:color="auto" w:fill="auto"/>
        </w:rPr>
      </w:pPr>
      <w:r>
        <w:rPr>
          <w:rFonts w:hint="eastAsia"/>
          <w:b w:val="0"/>
          <w:bCs w:val="0"/>
          <w:lang w:val="en-US" w:eastAsia="zh-CN"/>
        </w:rPr>
        <w:t>目前唯一获批在美国使用的23价肺炎链球菌多糖疫苗</w:t>
      </w:r>
    </w:p>
    <w:p>
      <w:pPr>
        <w:pStyle w:val="8"/>
        <w:numPr>
          <w:ilvl w:val="1"/>
          <w:numId w:val="1"/>
        </w:numPr>
        <w:ind w:firstLineChars="0"/>
        <w:rPr>
          <w:color w:val="auto"/>
          <w:highlight w:val="none"/>
          <w:shd w:val="clear" w:color="auto" w:fill="auto"/>
        </w:rPr>
      </w:pPr>
      <w:r>
        <w:rPr>
          <w:rFonts w:hint="eastAsia"/>
          <w:b w:val="0"/>
          <w:bCs w:val="0"/>
          <w:lang w:val="en-US" w:eastAsia="zh-CN"/>
        </w:rPr>
        <w:t>长期使用证实安全性良好</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关于甲肝疾病负担，下列选项正确的是：</w:t>
      </w:r>
      <w:r>
        <w:rPr>
          <w:rFonts w:hint="eastAsia"/>
          <w:b/>
          <w:color w:val="auto"/>
          <w:highlight w:val="none"/>
          <w:shd w:val="clear" w:color="auto" w:fill="auto"/>
          <w:lang w:val="en-US" w:eastAsia="zh-CN"/>
        </w:rPr>
        <w:t>abcd</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人类是甲肝病毒唯一的自然宿主，通过粪-口途径传播</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最严重的并发症为暴发型肝炎，虽不常见，但病死率高达80%</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目前无特异性治疗方法</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我</w:t>
      </w:r>
      <w:r>
        <w:rPr>
          <w:rFonts w:hint="eastAsia" w:ascii="宋体" w:hAnsi="宋体"/>
          <w:b w:val="0"/>
          <w:bCs w:val="0"/>
          <w:color w:val="auto"/>
          <w:sz w:val="24"/>
          <w:szCs w:val="24"/>
          <w:lang w:val="en-US" w:eastAsia="zh-CN"/>
        </w:rPr>
        <w:t>国甲肝流行得到有效控制，但2012-2015年，0-4岁儿童发病数仍居各年龄组之首</w:t>
      </w:r>
    </w:p>
    <w:p>
      <w:pPr>
        <w:pStyle w:val="8"/>
        <w:numPr>
          <w:ilvl w:val="0"/>
          <w:numId w:val="0"/>
        </w:numPr>
        <w:ind w:right="0" w:rightChars="0"/>
        <w:rPr>
          <w:rFonts w:hint="eastAsia"/>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1998年维康特因杰出的工艺造诣，荣获美国化学协会生化技术部(BIOT)授予的工业生物技术奖，主要体现在下列选项哪个方面：</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快速起效</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高效保护</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持久保护</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高度纯化</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一项汇总美国5个临床试验数据的研究显示，在初始血清学阴性的12-23月龄儿童中，维康特两剂单独或同时接种其他疫苗后血清阳转率高达</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99.9</w:t>
      </w:r>
    </w:p>
    <w:p>
      <w:pPr>
        <w:pStyle w:val="8"/>
        <w:numPr>
          <w:ilvl w:val="1"/>
          <w:numId w:val="1"/>
        </w:numPr>
        <w:ind w:firstLineChars="0"/>
        <w:rPr>
          <w:rFonts w:hint="eastAsia"/>
          <w:b w:val="0"/>
          <w:bCs w:val="0"/>
          <w:color w:val="auto"/>
          <w:sz w:val="24"/>
          <w:szCs w:val="24"/>
          <w:lang w:val="en-US" w:eastAsia="zh-CN"/>
        </w:rPr>
      </w:pPr>
      <w:r>
        <w:rPr>
          <w:rFonts w:hint="eastAsia"/>
          <w:color w:val="auto"/>
          <w:highlight w:val="none"/>
          <w:shd w:val="clear" w:color="auto" w:fill="auto"/>
          <w:lang w:val="en-US" w:eastAsia="zh-CN"/>
        </w:rPr>
        <w:t>100</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一项美国随机、双盲、安慰剂对照研究（Monroe 研究）显示，对2-16岁初始血清学阴性的儿童，接种50天后，安慰剂组新发25例甲肝病例，维康特组无甲肝病例，维康特保护效力高达</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w:t>
      </w:r>
      <w:r>
        <w:rPr>
          <w:rFonts w:hint="eastAsia"/>
          <w:b/>
          <w:bCs/>
          <w:color w:val="auto"/>
          <w:sz w:val="24"/>
          <w:szCs w:val="24"/>
          <w:lang w:val="en-US" w:eastAsia="zh-CN"/>
        </w:rPr>
        <w:t>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99.9</w:t>
      </w:r>
    </w:p>
    <w:p>
      <w:pPr>
        <w:pStyle w:val="8"/>
        <w:numPr>
          <w:ilvl w:val="1"/>
          <w:numId w:val="1"/>
        </w:numPr>
        <w:ind w:firstLineChars="0"/>
        <w:rPr>
          <w:rFonts w:hint="eastAsia"/>
          <w:b w:val="0"/>
          <w:bCs w:val="0"/>
          <w:color w:val="auto"/>
          <w:sz w:val="24"/>
          <w:szCs w:val="24"/>
          <w:lang w:val="en-US" w:eastAsia="zh-CN"/>
        </w:rPr>
      </w:pPr>
      <w:r>
        <w:rPr>
          <w:rFonts w:hint="eastAsia"/>
          <w:color w:val="auto"/>
          <w:highlight w:val="none"/>
          <w:shd w:val="clear" w:color="auto" w:fill="auto"/>
          <w:lang w:val="en-US" w:eastAsia="zh-CN"/>
        </w:rPr>
        <w:t>100</w:t>
      </w:r>
    </w:p>
    <w:p>
      <w:pPr>
        <w:pStyle w:val="8"/>
        <w:numPr>
          <w:ilvl w:val="0"/>
          <w:numId w:val="0"/>
        </w:numPr>
        <w:ind w:right="0" w:rightChars="0"/>
        <w:rPr>
          <w:rFonts w:hint="eastAsia"/>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一项美国随机、双盲、安慰剂对照研究（Monroe 研究）的9年随访研究显示，维康特提供</w:t>
      </w:r>
      <w:r>
        <w:rPr>
          <w:rFonts w:hint="eastAsia"/>
          <w:b w:val="0"/>
          <w:bCs w:val="0"/>
          <w:color w:val="auto"/>
          <w:sz w:val="24"/>
          <w:szCs w:val="24"/>
          <w:u w:val="single"/>
          <w:lang w:val="en-US" w:eastAsia="zh-CN"/>
        </w:rPr>
        <w:t xml:space="preserve">     </w:t>
      </w:r>
      <w:r>
        <w:rPr>
          <w:rFonts w:hint="eastAsia"/>
          <w:b w:val="0"/>
          <w:bCs w:val="0"/>
          <w:color w:val="auto"/>
          <w:sz w:val="24"/>
          <w:szCs w:val="24"/>
          <w:u w:val="none"/>
          <w:lang w:val="en-US" w:eastAsia="zh-CN"/>
        </w:rPr>
        <w:t>年</w:t>
      </w:r>
      <w:r>
        <w:rPr>
          <w:rFonts w:hint="eastAsia"/>
          <w:b w:val="0"/>
          <w:bCs w:val="0"/>
          <w:color w:val="auto"/>
          <w:sz w:val="24"/>
          <w:szCs w:val="24"/>
          <w:lang w:val="en-US" w:eastAsia="zh-CN"/>
        </w:rPr>
        <w:t>持久保护：</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10</w:t>
      </w:r>
    </w:p>
    <w:p>
      <w:pPr>
        <w:pStyle w:val="8"/>
        <w:numPr>
          <w:ilvl w:val="1"/>
          <w:numId w:val="1"/>
        </w:numPr>
        <w:ind w:firstLineChars="0"/>
        <w:rPr>
          <w:rStyle w:val="6"/>
          <w:sz w:val="24"/>
          <w:szCs w:val="24"/>
          <w:rtl w:val="0"/>
        </w:rPr>
      </w:pPr>
      <w:r>
        <w:rPr>
          <w:rFonts w:hint="eastAsia"/>
          <w:color w:val="auto"/>
          <w:highlight w:val="none"/>
          <w:shd w:val="clear" w:color="auto" w:fill="auto"/>
          <w:lang w:val="en-US" w:eastAsia="zh-CN"/>
        </w:rPr>
        <w:t>14</w:t>
      </w:r>
    </w:p>
    <w:p>
      <w:pPr>
        <w:pStyle w:val="8"/>
        <w:numPr>
          <w:ilvl w:val="0"/>
          <w:numId w:val="0"/>
        </w:numPr>
        <w:ind w:leftChars="0" w:right="0" w:rightChars="0"/>
        <w:rPr>
          <w:rStyle w:val="6"/>
          <w:rFonts w:hint="eastAsia"/>
          <w:sz w:val="24"/>
          <w:szCs w:val="24"/>
          <w:rtl w:val="0"/>
          <w:lang w:val="en-US" w:eastAsia="zh-CN"/>
        </w:rPr>
      </w:pP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根据2021WHO全球结核病报告，2020年估计我国新发结核病患者近</w:t>
      </w:r>
      <w:r>
        <w:rPr>
          <w:rStyle w:val="6"/>
          <w:rFonts w:hint="eastAsia"/>
          <w:u w:val="single"/>
          <w:rtl w:val="0"/>
          <w:lang w:val="en-US" w:eastAsia="zh-CN"/>
        </w:rPr>
        <w:t xml:space="preserve">    </w:t>
      </w:r>
      <w:r>
        <w:rPr>
          <w:rStyle w:val="6"/>
          <w:rtl w:val="0"/>
        </w:rPr>
        <w:t>万</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b w:val="0"/>
          <w:bCs w:val="0"/>
          <w:lang w:val="en-US" w:eastAsia="zh-CN"/>
        </w:rPr>
        <w:t>29</w:t>
      </w:r>
    </w:p>
    <w:p>
      <w:pPr>
        <w:pStyle w:val="8"/>
        <w:numPr>
          <w:ilvl w:val="1"/>
          <w:numId w:val="1"/>
        </w:numPr>
        <w:ind w:firstLineChars="0"/>
        <w:rPr>
          <w:color w:val="auto"/>
          <w:highlight w:val="none"/>
          <w:shd w:val="clear" w:color="auto" w:fill="auto"/>
        </w:rPr>
      </w:pPr>
      <w:r>
        <w:rPr>
          <w:rFonts w:hint="eastAsia"/>
          <w:b w:val="0"/>
          <w:bCs w:val="0"/>
          <w:lang w:val="en-US" w:eastAsia="zh-CN"/>
        </w:rPr>
        <w:t>84.2</w:t>
      </w:r>
    </w:p>
    <w:p>
      <w:pPr>
        <w:pStyle w:val="8"/>
        <w:numPr>
          <w:ilvl w:val="1"/>
          <w:numId w:val="1"/>
        </w:numPr>
        <w:ind w:firstLineChars="0"/>
        <w:rPr>
          <w:color w:val="auto"/>
          <w:highlight w:val="none"/>
          <w:shd w:val="clear" w:color="auto" w:fill="auto"/>
        </w:rPr>
      </w:pPr>
      <w:r>
        <w:rPr>
          <w:rFonts w:hint="eastAsia"/>
          <w:b w:val="0"/>
          <w:bCs w:val="0"/>
          <w:lang w:val="en-US" w:eastAsia="zh-CN"/>
        </w:rPr>
        <w:t>118</w:t>
      </w:r>
    </w:p>
    <w:p>
      <w:pPr>
        <w:pStyle w:val="8"/>
        <w:numPr>
          <w:ilvl w:val="1"/>
          <w:numId w:val="1"/>
        </w:numPr>
        <w:ind w:firstLineChars="0"/>
        <w:rPr>
          <w:color w:val="auto"/>
          <w:highlight w:val="none"/>
          <w:shd w:val="clear" w:color="auto" w:fill="auto"/>
        </w:rPr>
      </w:pPr>
      <w:r>
        <w:rPr>
          <w:rFonts w:hint="eastAsia"/>
          <w:b w:val="0"/>
          <w:bCs w:val="0"/>
          <w:lang w:val="en-US" w:eastAsia="zh-CN"/>
        </w:rPr>
        <w:t>151.4</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结核潜伏感染人群庞大，我国约有</w:t>
      </w:r>
      <w:r>
        <w:rPr>
          <w:rStyle w:val="6"/>
          <w:rFonts w:hint="eastAsia"/>
          <w:u w:val="single"/>
          <w:rtl w:val="0"/>
          <w:lang w:val="en-US" w:eastAsia="zh-CN"/>
        </w:rPr>
        <w:t xml:space="preserve">     </w:t>
      </w:r>
      <w:r>
        <w:rPr>
          <w:rStyle w:val="6"/>
          <w:rtl w:val="0"/>
        </w:rPr>
        <w:t>亿潜伏感染者，成为新发结核的巨大源头</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b w:val="0"/>
          <w:bCs w:val="0"/>
          <w:lang w:val="en-US" w:eastAsia="zh-CN"/>
        </w:rPr>
        <w:t>1.5</w:t>
      </w:r>
    </w:p>
    <w:p>
      <w:pPr>
        <w:pStyle w:val="8"/>
        <w:numPr>
          <w:ilvl w:val="1"/>
          <w:numId w:val="1"/>
        </w:numPr>
        <w:ind w:firstLineChars="0"/>
        <w:rPr>
          <w:color w:val="auto"/>
          <w:highlight w:val="none"/>
          <w:shd w:val="clear" w:color="auto" w:fill="auto"/>
        </w:rPr>
      </w:pPr>
      <w:r>
        <w:rPr>
          <w:rFonts w:hint="eastAsia"/>
          <w:b w:val="0"/>
          <w:bCs w:val="0"/>
          <w:lang w:val="en-US" w:eastAsia="zh-CN"/>
        </w:rPr>
        <w:t>2.5</w:t>
      </w:r>
    </w:p>
    <w:p>
      <w:pPr>
        <w:pStyle w:val="8"/>
        <w:numPr>
          <w:ilvl w:val="1"/>
          <w:numId w:val="1"/>
        </w:numPr>
        <w:ind w:firstLineChars="0"/>
        <w:rPr>
          <w:color w:val="auto"/>
          <w:highlight w:val="none"/>
          <w:shd w:val="clear" w:color="auto" w:fill="auto"/>
        </w:rPr>
      </w:pPr>
      <w:r>
        <w:rPr>
          <w:rFonts w:hint="eastAsia"/>
          <w:b w:val="0"/>
          <w:bCs w:val="0"/>
          <w:lang w:val="en-US" w:eastAsia="zh-CN"/>
        </w:rPr>
        <w:t>3.5</w:t>
      </w:r>
    </w:p>
    <w:p>
      <w:pPr>
        <w:pStyle w:val="8"/>
        <w:numPr>
          <w:ilvl w:val="1"/>
          <w:numId w:val="1"/>
        </w:numPr>
        <w:ind w:firstLineChars="0"/>
        <w:rPr>
          <w:color w:val="auto"/>
          <w:highlight w:val="none"/>
          <w:shd w:val="clear" w:color="auto" w:fill="auto"/>
        </w:rPr>
      </w:pPr>
      <w:r>
        <w:rPr>
          <w:rFonts w:hint="eastAsia"/>
          <w:b w:val="0"/>
          <w:bCs w:val="0"/>
          <w:lang w:val="en-US" w:eastAsia="zh-CN"/>
        </w:rPr>
        <w:t>4.5</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Fonts w:hint="eastAsia"/>
          <w:rtl w:val="0"/>
        </w:rPr>
        <w:t>一项基于多中心调查数据和空间统计模型的全国结核分枝杆菌潜伏感染估算的研究显示：我国15岁以上人群结核分枝杆菌潜伏感染率为( )%，呈现出随着年龄增长而升高的趋势</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b w:val="0"/>
          <w:bCs w:val="0"/>
          <w:lang w:val="en-US" w:eastAsia="zh-CN"/>
        </w:rPr>
        <w:t>18.1</w:t>
      </w:r>
    </w:p>
    <w:p>
      <w:pPr>
        <w:pStyle w:val="8"/>
        <w:numPr>
          <w:ilvl w:val="1"/>
          <w:numId w:val="1"/>
        </w:numPr>
        <w:ind w:firstLineChars="0"/>
        <w:rPr>
          <w:color w:val="auto"/>
          <w:highlight w:val="none"/>
          <w:shd w:val="clear" w:color="auto" w:fill="auto"/>
        </w:rPr>
      </w:pPr>
      <w:r>
        <w:rPr>
          <w:rFonts w:hint="eastAsia"/>
          <w:b w:val="0"/>
          <w:bCs w:val="0"/>
          <w:lang w:val="en-US" w:eastAsia="zh-CN"/>
        </w:rPr>
        <w:t>20.34</w:t>
      </w:r>
    </w:p>
    <w:p>
      <w:pPr>
        <w:pStyle w:val="8"/>
        <w:numPr>
          <w:ilvl w:val="1"/>
          <w:numId w:val="1"/>
        </w:numPr>
        <w:ind w:firstLineChars="0"/>
        <w:rPr>
          <w:color w:val="auto"/>
          <w:highlight w:val="none"/>
          <w:shd w:val="clear" w:color="auto" w:fill="auto"/>
        </w:rPr>
      </w:pPr>
      <w:r>
        <w:rPr>
          <w:rFonts w:hint="eastAsia"/>
          <w:b w:val="0"/>
          <w:bCs w:val="0"/>
          <w:lang w:val="en-US" w:eastAsia="zh-CN"/>
        </w:rPr>
        <w:t>35</w:t>
      </w:r>
    </w:p>
    <w:p>
      <w:pPr>
        <w:pStyle w:val="8"/>
        <w:numPr>
          <w:ilvl w:val="1"/>
          <w:numId w:val="1"/>
        </w:numPr>
        <w:ind w:firstLineChars="0"/>
        <w:rPr>
          <w:color w:val="auto"/>
          <w:highlight w:val="none"/>
          <w:shd w:val="clear" w:color="auto" w:fill="auto"/>
        </w:rPr>
      </w:pPr>
      <w:r>
        <w:rPr>
          <w:rFonts w:hint="eastAsia"/>
          <w:b w:val="0"/>
          <w:bCs w:val="0"/>
          <w:lang w:val="en-US" w:eastAsia="zh-CN"/>
        </w:rPr>
        <w:t>45</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结核分枝杆菌潜伏感染(LTBI)定义为机体内感染了结核分枝杆菌，但没有发生临床结核病， 没有临床细菌学或者影像学方面活动结核的证据，其中</w:t>
      </w:r>
      <w:r>
        <w:rPr>
          <w:rStyle w:val="6"/>
          <w:strike w:val="0"/>
          <w:u w:val="single"/>
          <w:rtl w:val="0"/>
        </w:rPr>
        <w:t>   </w:t>
      </w:r>
      <w:r>
        <w:rPr>
          <w:rStyle w:val="6"/>
          <w:rtl w:val="0"/>
        </w:rPr>
        <w:t>%会在其一生中发展为活动性结核病</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b w:val="0"/>
          <w:bCs w:val="0"/>
          <w:lang w:val="en-US" w:eastAsia="zh-CN"/>
        </w:rPr>
        <w:t>1-3</w:t>
      </w:r>
    </w:p>
    <w:p>
      <w:pPr>
        <w:pStyle w:val="8"/>
        <w:numPr>
          <w:ilvl w:val="1"/>
          <w:numId w:val="1"/>
        </w:numPr>
        <w:ind w:firstLineChars="0"/>
        <w:rPr>
          <w:color w:val="auto"/>
          <w:highlight w:val="none"/>
          <w:shd w:val="clear" w:color="auto" w:fill="auto"/>
        </w:rPr>
      </w:pPr>
      <w:r>
        <w:rPr>
          <w:rFonts w:hint="eastAsia"/>
          <w:b w:val="0"/>
          <w:bCs w:val="0"/>
          <w:lang w:val="en-US" w:eastAsia="zh-CN"/>
        </w:rPr>
        <w:t>3-5</w:t>
      </w:r>
    </w:p>
    <w:p>
      <w:pPr>
        <w:pStyle w:val="8"/>
        <w:numPr>
          <w:ilvl w:val="1"/>
          <w:numId w:val="1"/>
        </w:numPr>
        <w:ind w:firstLineChars="0"/>
        <w:rPr>
          <w:color w:val="auto"/>
          <w:highlight w:val="none"/>
          <w:shd w:val="clear" w:color="auto" w:fill="auto"/>
        </w:rPr>
      </w:pPr>
      <w:r>
        <w:rPr>
          <w:rFonts w:hint="eastAsia"/>
          <w:b w:val="0"/>
          <w:bCs w:val="0"/>
          <w:lang w:val="en-US" w:eastAsia="zh-CN"/>
        </w:rPr>
        <w:t>5-10</w:t>
      </w:r>
    </w:p>
    <w:p>
      <w:pPr>
        <w:pStyle w:val="8"/>
        <w:numPr>
          <w:ilvl w:val="1"/>
          <w:numId w:val="1"/>
        </w:numPr>
        <w:ind w:firstLineChars="0"/>
        <w:rPr>
          <w:color w:val="auto"/>
          <w:highlight w:val="none"/>
          <w:shd w:val="clear" w:color="auto" w:fill="auto"/>
        </w:rPr>
      </w:pPr>
      <w:r>
        <w:rPr>
          <w:rFonts w:hint="eastAsia"/>
          <w:b w:val="0"/>
          <w:bCs w:val="0"/>
          <w:lang w:val="en-US" w:eastAsia="zh-CN"/>
        </w:rPr>
        <w:t>10-20</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结核病高危人群包括下列哪些人群</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Style w:val="6"/>
          <w:sz w:val="24"/>
          <w:szCs w:val="24"/>
          <w:rtl w:val="0"/>
        </w:rPr>
        <w:t>结核病患者密切接触者</w:t>
      </w:r>
    </w:p>
    <w:p>
      <w:pPr>
        <w:pStyle w:val="8"/>
        <w:numPr>
          <w:ilvl w:val="1"/>
          <w:numId w:val="1"/>
        </w:numPr>
        <w:ind w:firstLineChars="0"/>
        <w:rPr>
          <w:color w:val="auto"/>
          <w:highlight w:val="none"/>
          <w:shd w:val="clear" w:color="auto" w:fill="auto"/>
        </w:rPr>
      </w:pPr>
      <w:r>
        <w:rPr>
          <w:rStyle w:val="6"/>
          <w:rFonts w:hint="eastAsia"/>
          <w:sz w:val="24"/>
          <w:szCs w:val="24"/>
          <w:rtl w:val="0"/>
          <w:lang w:val="en-US" w:eastAsia="zh-CN"/>
        </w:rPr>
        <w:t>学生</w:t>
      </w:r>
    </w:p>
    <w:p>
      <w:pPr>
        <w:pStyle w:val="8"/>
        <w:numPr>
          <w:ilvl w:val="1"/>
          <w:numId w:val="1"/>
        </w:numPr>
        <w:ind w:firstLineChars="0"/>
        <w:rPr>
          <w:color w:val="auto"/>
          <w:highlight w:val="none"/>
          <w:shd w:val="clear" w:color="auto" w:fill="auto"/>
        </w:rPr>
      </w:pPr>
      <w:r>
        <w:rPr>
          <w:rStyle w:val="6"/>
          <w:sz w:val="24"/>
          <w:szCs w:val="24"/>
          <w:rtl w:val="0"/>
        </w:rPr>
        <w:t>艾滋病患者</w:t>
      </w:r>
    </w:p>
    <w:p>
      <w:pPr>
        <w:pStyle w:val="8"/>
        <w:numPr>
          <w:ilvl w:val="1"/>
          <w:numId w:val="1"/>
        </w:numPr>
        <w:ind w:firstLineChars="0"/>
        <w:rPr>
          <w:color w:val="auto"/>
          <w:highlight w:val="none"/>
          <w:shd w:val="clear" w:color="auto" w:fill="auto"/>
        </w:rPr>
      </w:pPr>
      <w:r>
        <w:rPr>
          <w:rStyle w:val="6"/>
          <w:rFonts w:hint="eastAsia"/>
          <w:sz w:val="24"/>
          <w:szCs w:val="24"/>
          <w:rtl w:val="0"/>
          <w:lang w:val="en-US" w:eastAsia="zh-CN"/>
        </w:rPr>
        <w:t>糖尿病患者</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针对LTBI的预防性药物治疗不良反应多，可能累及肝脏、神经、泌尿、血液、消化等12个系统，肝毒性是抗结核治疗中最严重的不良反应，肝损伤发病率高达</w:t>
      </w:r>
      <w:r>
        <w:rPr>
          <w:rStyle w:val="6"/>
          <w:rFonts w:hint="eastAsia"/>
          <w:u w:val="single"/>
          <w:rtl w:val="0"/>
          <w:lang w:val="en-US" w:eastAsia="zh-CN"/>
        </w:rPr>
        <w:t xml:space="preserve">     </w:t>
      </w:r>
      <w:r>
        <w:rPr>
          <w:rStyle w:val="6"/>
          <w:rtl w:val="0"/>
        </w:rPr>
        <w:t>%，严重者可危及生命</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a</w:t>
      </w:r>
    </w:p>
    <w:p>
      <w:pPr>
        <w:pStyle w:val="8"/>
        <w:numPr>
          <w:ilvl w:val="1"/>
          <w:numId w:val="1"/>
        </w:numPr>
        <w:ind w:firstLineChars="0"/>
        <w:rPr>
          <w:color w:val="auto"/>
          <w:highlight w:val="none"/>
          <w:shd w:val="clear" w:color="auto" w:fill="auto"/>
        </w:rPr>
      </w:pPr>
      <w:r>
        <w:rPr>
          <w:rFonts w:hint="eastAsia"/>
          <w:b w:val="0"/>
          <w:bCs w:val="0"/>
          <w:lang w:val="en-US" w:eastAsia="zh-CN"/>
        </w:rPr>
        <w:t>55.6</w:t>
      </w:r>
    </w:p>
    <w:p>
      <w:pPr>
        <w:pStyle w:val="8"/>
        <w:numPr>
          <w:ilvl w:val="1"/>
          <w:numId w:val="1"/>
        </w:numPr>
        <w:ind w:firstLineChars="0"/>
        <w:rPr>
          <w:color w:val="auto"/>
          <w:highlight w:val="none"/>
          <w:shd w:val="clear" w:color="auto" w:fill="auto"/>
        </w:rPr>
      </w:pPr>
      <w:r>
        <w:rPr>
          <w:rFonts w:hint="eastAsia"/>
          <w:b w:val="0"/>
          <w:bCs w:val="0"/>
          <w:lang w:val="en-US" w:eastAsia="zh-CN"/>
        </w:rPr>
        <w:t>66.8</w:t>
      </w:r>
    </w:p>
    <w:p>
      <w:pPr>
        <w:pStyle w:val="8"/>
        <w:numPr>
          <w:ilvl w:val="1"/>
          <w:numId w:val="1"/>
        </w:numPr>
        <w:ind w:firstLineChars="0"/>
        <w:rPr>
          <w:color w:val="auto"/>
          <w:highlight w:val="none"/>
          <w:shd w:val="clear" w:color="auto" w:fill="auto"/>
        </w:rPr>
      </w:pPr>
      <w:r>
        <w:rPr>
          <w:rFonts w:hint="eastAsia"/>
          <w:b w:val="0"/>
          <w:bCs w:val="0"/>
          <w:lang w:val="en-US" w:eastAsia="zh-CN"/>
        </w:rPr>
        <w:t>85</w:t>
      </w:r>
    </w:p>
    <w:p>
      <w:pPr>
        <w:pStyle w:val="8"/>
        <w:numPr>
          <w:ilvl w:val="1"/>
          <w:numId w:val="1"/>
        </w:numPr>
        <w:ind w:firstLineChars="0"/>
        <w:rPr>
          <w:color w:val="auto"/>
          <w:highlight w:val="none"/>
          <w:shd w:val="clear" w:color="auto" w:fill="auto"/>
        </w:rPr>
      </w:pPr>
      <w:r>
        <w:rPr>
          <w:rFonts w:hint="eastAsia"/>
          <w:b w:val="0"/>
          <w:bCs w:val="0"/>
          <w:lang w:val="en-US" w:eastAsia="zh-CN"/>
        </w:rPr>
        <w:t>93.5</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有文献资料显示：结核病患者密切接触者中，罹患活动性结核病风险高达普通人群</w:t>
      </w:r>
      <w:r>
        <w:rPr>
          <w:rStyle w:val="6"/>
          <w:rFonts w:hint="eastAsia"/>
          <w:u w:val="single"/>
          <w:rtl w:val="0"/>
          <w:lang w:val="en-US" w:eastAsia="zh-CN"/>
        </w:rPr>
        <w:t xml:space="preserve">    </w:t>
      </w:r>
      <w:r>
        <w:rPr>
          <w:rStyle w:val="6"/>
          <w:rtl w:val="0"/>
        </w:rPr>
        <w:t xml:space="preserve"> 倍</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b w:val="0"/>
          <w:bCs w:val="0"/>
          <w:lang w:val="en-US" w:eastAsia="zh-CN"/>
        </w:rPr>
        <w:t>2</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5.4</w:t>
      </w:r>
    </w:p>
    <w:p>
      <w:pPr>
        <w:pStyle w:val="8"/>
        <w:numPr>
          <w:ilvl w:val="1"/>
          <w:numId w:val="1"/>
        </w:numPr>
        <w:ind w:firstLineChars="0"/>
        <w:rPr>
          <w:color w:val="auto"/>
          <w:highlight w:val="none"/>
          <w:shd w:val="clear" w:color="auto" w:fill="auto"/>
        </w:rPr>
      </w:pPr>
      <w:r>
        <w:rPr>
          <w:rFonts w:hint="eastAsia"/>
          <w:b w:val="0"/>
          <w:bCs w:val="0"/>
          <w:lang w:val="en-US" w:eastAsia="zh-CN"/>
        </w:rPr>
        <w:t>28</w:t>
      </w:r>
    </w:p>
    <w:p>
      <w:pPr>
        <w:pStyle w:val="8"/>
        <w:numPr>
          <w:ilvl w:val="1"/>
          <w:numId w:val="1"/>
        </w:numPr>
        <w:ind w:firstLineChars="0"/>
        <w:rPr>
          <w:color w:val="auto"/>
          <w:highlight w:val="none"/>
          <w:shd w:val="clear" w:color="auto" w:fill="auto"/>
        </w:rPr>
      </w:pPr>
      <w:r>
        <w:rPr>
          <w:rFonts w:hint="eastAsia"/>
          <w:b w:val="0"/>
          <w:bCs w:val="0"/>
          <w:lang w:val="en-US" w:eastAsia="zh-CN"/>
        </w:rPr>
        <w:t>30</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确保最终实现WHO“终止结核病” 目标，到2035年我国结核病发病率较2015年需要降低</w:t>
      </w:r>
      <w:r>
        <w:rPr>
          <w:rStyle w:val="6"/>
          <w:rFonts w:hint="eastAsia"/>
          <w:u w:val="single"/>
          <w:rtl w:val="0"/>
          <w:lang w:val="en-US" w:eastAsia="zh-CN"/>
        </w:rPr>
        <w:t xml:space="preserve">    </w:t>
      </w:r>
      <w:r>
        <w:rPr>
          <w:rStyle w:val="6"/>
          <w:rtl w:val="0"/>
        </w:rPr>
        <w:t>%</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b w:val="0"/>
          <w:bCs w:val="0"/>
          <w:lang w:val="en-US" w:eastAsia="zh-CN"/>
        </w:rPr>
        <w:t>60</w:t>
      </w:r>
    </w:p>
    <w:p>
      <w:pPr>
        <w:pStyle w:val="8"/>
        <w:numPr>
          <w:ilvl w:val="1"/>
          <w:numId w:val="1"/>
        </w:numPr>
        <w:ind w:firstLineChars="0"/>
        <w:rPr>
          <w:color w:val="auto"/>
          <w:highlight w:val="none"/>
          <w:shd w:val="clear" w:color="auto" w:fill="auto"/>
        </w:rPr>
      </w:pPr>
      <w:r>
        <w:rPr>
          <w:rFonts w:hint="eastAsia"/>
          <w:b w:val="0"/>
          <w:bCs w:val="0"/>
          <w:lang w:val="en-US" w:eastAsia="zh-CN"/>
        </w:rPr>
        <w:t>70</w:t>
      </w:r>
    </w:p>
    <w:p>
      <w:pPr>
        <w:pStyle w:val="8"/>
        <w:numPr>
          <w:ilvl w:val="1"/>
          <w:numId w:val="1"/>
        </w:numPr>
        <w:ind w:firstLineChars="0"/>
        <w:rPr>
          <w:color w:val="auto"/>
          <w:highlight w:val="none"/>
          <w:shd w:val="clear" w:color="auto" w:fill="auto"/>
        </w:rPr>
      </w:pPr>
      <w:r>
        <w:rPr>
          <w:rFonts w:hint="eastAsia"/>
          <w:b w:val="0"/>
          <w:bCs w:val="0"/>
          <w:lang w:val="en-US" w:eastAsia="zh-CN"/>
        </w:rPr>
        <w:t>80</w:t>
      </w:r>
    </w:p>
    <w:p>
      <w:pPr>
        <w:pStyle w:val="8"/>
        <w:numPr>
          <w:ilvl w:val="1"/>
          <w:numId w:val="1"/>
        </w:numPr>
        <w:ind w:firstLineChars="0"/>
        <w:rPr>
          <w:color w:val="auto"/>
          <w:highlight w:val="none"/>
          <w:shd w:val="clear" w:color="auto" w:fill="auto"/>
        </w:rPr>
      </w:pPr>
      <w:r>
        <w:rPr>
          <w:rFonts w:hint="eastAsia"/>
          <w:b w:val="0"/>
          <w:bCs w:val="0"/>
          <w:lang w:val="en-US" w:eastAsia="zh-CN"/>
        </w:rPr>
        <w:t>90</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下列关于宜卡的描述，错误的是</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Style w:val="6"/>
          <w:sz w:val="24"/>
          <w:szCs w:val="24"/>
          <w:rtl w:val="0"/>
        </w:rPr>
        <w:t>运用基因重组技术将结核分枝杆菌RD1区ESAT6 与CFP10 高效融合表达于大肠杆菌制成</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因RD1区基因在卡介苗中缺失，故宜卡只对结核分枝杆菌敏感，与卡介苗无交叉反应</w:t>
      </w:r>
      <w:r>
        <w:rPr>
          <w:rFonts w:hint="default"/>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宜卡借助特异性抗原(ESAT6 与CFP10 )引导的反应进行判断，与TB-PPD原理相同</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宜卡借助特异性抗原(ESAT6 与CFP10 )引导的反应进行判断，与T-SPOT原理相同</w:t>
      </w:r>
      <w:r>
        <w:rPr>
          <w:rFonts w:hint="eastAsia"/>
          <w:b w:val="0"/>
          <w:bCs w:val="0"/>
          <w:lang w:val="en-US" w:eastAsia="zh-CN"/>
        </w:rPr>
        <w:t>。</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一项纳入10000例结核潜伏感染人群的Ⅲ期临床试验显示：在15-65岁FAS*人群中，全程给药6次微卡后新发结核病的发病密度显著低于安慰剂组，预防新发结核病的保护效力达</w:t>
      </w:r>
      <w:r>
        <w:rPr>
          <w:rStyle w:val="6"/>
          <w:rFonts w:hint="eastAsia"/>
          <w:u w:val="single"/>
          <w:rtl w:val="0"/>
          <w:lang w:val="en-US" w:eastAsia="zh-CN"/>
        </w:rPr>
        <w:t xml:space="preserve">   </w:t>
      </w:r>
      <w:r>
        <w:rPr>
          <w:rStyle w:val="6"/>
          <w:rtl w:val="0"/>
        </w:rPr>
        <w:t>%</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a</w:t>
      </w:r>
    </w:p>
    <w:p>
      <w:pPr>
        <w:pStyle w:val="8"/>
        <w:numPr>
          <w:ilvl w:val="1"/>
          <w:numId w:val="1"/>
        </w:numPr>
        <w:ind w:firstLineChars="0"/>
        <w:rPr>
          <w:color w:val="auto"/>
          <w:highlight w:val="none"/>
          <w:shd w:val="clear" w:color="auto" w:fill="auto"/>
        </w:rPr>
      </w:pPr>
      <w:r>
        <w:rPr>
          <w:rFonts w:hint="eastAsia"/>
          <w:b w:val="0"/>
          <w:bCs w:val="0"/>
          <w:lang w:val="en-US" w:eastAsia="zh-CN"/>
        </w:rPr>
        <w:t>54.7</w:t>
      </w:r>
    </w:p>
    <w:p>
      <w:pPr>
        <w:pStyle w:val="8"/>
        <w:numPr>
          <w:ilvl w:val="1"/>
          <w:numId w:val="1"/>
        </w:numPr>
        <w:ind w:firstLineChars="0"/>
        <w:rPr>
          <w:color w:val="auto"/>
          <w:highlight w:val="none"/>
          <w:shd w:val="clear" w:color="auto" w:fill="auto"/>
        </w:rPr>
      </w:pPr>
      <w:r>
        <w:rPr>
          <w:rFonts w:hint="eastAsia"/>
          <w:b w:val="0"/>
          <w:bCs w:val="0"/>
          <w:lang w:val="en-US" w:eastAsia="zh-CN"/>
        </w:rPr>
        <w:t>82.6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91.3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93.5</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微卡用药程序简便易行，依从性高达</w:t>
      </w:r>
      <w:r>
        <w:rPr>
          <w:rStyle w:val="6"/>
          <w:rFonts w:hint="eastAsia"/>
          <w:u w:val="single"/>
          <w:rtl w:val="0"/>
          <w:lang w:val="en-US" w:eastAsia="zh-CN"/>
        </w:rPr>
        <w:t xml:space="preserve">    </w:t>
      </w:r>
      <w:r>
        <w:rPr>
          <w:rStyle w:val="6"/>
          <w:rtl w:val="0"/>
        </w:rPr>
        <w:t>%</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b w:val="0"/>
          <w:bCs w:val="0"/>
          <w:lang w:val="en-US" w:eastAsia="zh-CN"/>
        </w:rPr>
        <w:t>54.7</w:t>
      </w:r>
    </w:p>
    <w:p>
      <w:pPr>
        <w:pStyle w:val="8"/>
        <w:numPr>
          <w:ilvl w:val="1"/>
          <w:numId w:val="1"/>
        </w:numPr>
        <w:ind w:firstLineChars="0"/>
        <w:rPr>
          <w:color w:val="auto"/>
          <w:highlight w:val="none"/>
          <w:shd w:val="clear" w:color="auto" w:fill="auto"/>
        </w:rPr>
      </w:pPr>
      <w:r>
        <w:rPr>
          <w:rFonts w:hint="eastAsia"/>
          <w:b w:val="0"/>
          <w:bCs w:val="0"/>
          <w:lang w:val="en-US" w:eastAsia="zh-CN"/>
        </w:rPr>
        <w:t>82.6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91.3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93.5</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Fonts w:hint="eastAsia"/>
          <w:rtl w:val="0"/>
          <w:lang w:val="en-US" w:eastAsia="zh-CN"/>
        </w:rPr>
        <w:t>在南京市疾控开展的一项关于母牛分枝杆菌预防性治疗潜伏性结核感染的效果评价临床研究，微卡保护率达</w:t>
      </w:r>
      <w:r>
        <w:rPr>
          <w:rStyle w:val="6"/>
          <w:rFonts w:hint="eastAsia"/>
          <w:u w:val="single"/>
          <w:rtl w:val="0"/>
          <w:lang w:val="en-US" w:eastAsia="zh-CN"/>
        </w:rPr>
        <w:t xml:space="preserve">    </w:t>
      </w:r>
      <w:r>
        <w:rPr>
          <w:rStyle w:val="6"/>
          <w:rtl w:val="0"/>
        </w:rPr>
        <w:t>%</w:t>
      </w:r>
      <w:r>
        <w:rPr>
          <w:rStyle w:val="6"/>
          <w:rFonts w:hint="eastAsia"/>
          <w:rtl w:val="0"/>
          <w:lang w:eastAsia="zh-CN"/>
        </w:rPr>
        <w:t>，</w:t>
      </w:r>
      <w:r>
        <w:rPr>
          <w:rStyle w:val="6"/>
          <w:rFonts w:hint="eastAsia"/>
          <w:rtl w:val="0"/>
          <w:lang w:val="en-US" w:eastAsia="zh-CN"/>
        </w:rPr>
        <w:t>保护率不比化药预防效果差</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b w:val="0"/>
          <w:bCs w:val="0"/>
          <w:lang w:val="en-US" w:eastAsia="zh-CN"/>
        </w:rPr>
        <w:t>54.7</w:t>
      </w:r>
    </w:p>
    <w:p>
      <w:pPr>
        <w:pStyle w:val="8"/>
        <w:numPr>
          <w:ilvl w:val="1"/>
          <w:numId w:val="1"/>
        </w:numPr>
        <w:ind w:firstLineChars="0"/>
        <w:rPr>
          <w:color w:val="auto"/>
          <w:highlight w:val="none"/>
          <w:shd w:val="clear" w:color="auto" w:fill="auto"/>
        </w:rPr>
      </w:pPr>
      <w:r>
        <w:rPr>
          <w:rFonts w:hint="eastAsia"/>
          <w:b w:val="0"/>
          <w:bCs w:val="0"/>
          <w:lang w:val="en-US" w:eastAsia="zh-CN"/>
        </w:rPr>
        <w:t>82.6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91.3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93.5</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下列关于微卡使用的描述，错误的是</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Style w:val="6"/>
          <w:sz w:val="24"/>
          <w:szCs w:val="24"/>
          <w:rtl w:val="0"/>
        </w:rPr>
        <w:t>本品适用于15-65岁结核分枝杆菌潜伏感染人群，预防潜伏感染人群发生肺结核疾病</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本品用于预防结核分枝杆菌潜伏感染人群发生肺结核疾病，尚未获得15周岁以下儿童使用数据</w:t>
      </w:r>
      <w:r>
        <w:rPr>
          <w:rFonts w:hint="default"/>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本品也可作为联合用药，用于结核病化疗的辅助治疗</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本品用于结核病化疗的辅助治疗时，适用人群为15-65岁人群</w:t>
      </w:r>
      <w:r>
        <w:rPr>
          <w:rFonts w:hint="eastAsia"/>
          <w:b w:val="0"/>
          <w:bCs w:val="0"/>
          <w:lang w:val="en-US" w:eastAsia="zh-CN"/>
        </w:rPr>
        <w:t>。</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下列关于微卡</w:t>
      </w:r>
      <w:r>
        <w:rPr>
          <w:rStyle w:val="6"/>
          <w:rFonts w:hint="eastAsia"/>
          <w:rtl w:val="0"/>
          <w:lang w:val="en-US" w:eastAsia="zh-CN"/>
        </w:rPr>
        <w:t>禁忌症</w:t>
      </w:r>
      <w:r>
        <w:rPr>
          <w:rStyle w:val="6"/>
          <w:rtl w:val="0"/>
        </w:rPr>
        <w:t>的描述，</w:t>
      </w:r>
      <w:r>
        <w:rPr>
          <w:rStyle w:val="6"/>
          <w:rFonts w:hint="eastAsia"/>
          <w:rtl w:val="0"/>
          <w:lang w:val="en-US" w:eastAsia="zh-CN"/>
        </w:rPr>
        <w:t>正确</w:t>
      </w:r>
      <w:r>
        <w:rPr>
          <w:rStyle w:val="6"/>
          <w:rtl w:val="0"/>
        </w:rPr>
        <w:t>的是</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Style w:val="6"/>
          <w:rFonts w:hint="eastAsia"/>
          <w:sz w:val="24"/>
          <w:szCs w:val="24"/>
          <w:rtl w:val="0"/>
        </w:rPr>
        <w:t>对本品任何成分过敏者或过敏体质者</w:t>
      </w:r>
    </w:p>
    <w:p>
      <w:pPr>
        <w:pStyle w:val="8"/>
        <w:numPr>
          <w:ilvl w:val="1"/>
          <w:numId w:val="1"/>
        </w:numPr>
        <w:ind w:firstLineChars="0"/>
        <w:rPr>
          <w:color w:val="auto"/>
          <w:highlight w:val="none"/>
          <w:shd w:val="clear" w:color="auto" w:fill="auto"/>
        </w:rPr>
      </w:pPr>
      <w:r>
        <w:rPr>
          <w:rFonts w:hint="eastAsia"/>
          <w:b w:val="0"/>
          <w:bCs w:val="0"/>
          <w:lang w:val="en-US" w:eastAsia="zh-CN"/>
        </w:rPr>
        <w:t>患急性发热性疾病、急性或渐进性肝病或肾病、严重心脏病、严重高血压、心肌损害、显著血管硬化、心内膜炎患者</w:t>
      </w:r>
    </w:p>
    <w:p>
      <w:pPr>
        <w:pStyle w:val="8"/>
        <w:numPr>
          <w:ilvl w:val="1"/>
          <w:numId w:val="1"/>
        </w:numPr>
        <w:ind w:firstLineChars="0"/>
        <w:rPr>
          <w:color w:val="auto"/>
          <w:highlight w:val="none"/>
          <w:shd w:val="clear" w:color="auto" w:fill="auto"/>
        </w:rPr>
      </w:pPr>
      <w:r>
        <w:rPr>
          <w:rStyle w:val="6"/>
          <w:rFonts w:hint="eastAsia"/>
          <w:sz w:val="24"/>
          <w:szCs w:val="24"/>
          <w:rtl w:val="0"/>
        </w:rPr>
        <w:t>妊娠期妇女</w:t>
      </w:r>
    </w:p>
    <w:p>
      <w:pPr>
        <w:pStyle w:val="8"/>
        <w:numPr>
          <w:ilvl w:val="1"/>
          <w:numId w:val="1"/>
        </w:numPr>
        <w:ind w:firstLineChars="0"/>
        <w:rPr>
          <w:color w:val="auto"/>
          <w:highlight w:val="none"/>
          <w:shd w:val="clear" w:color="auto" w:fill="auto"/>
        </w:rPr>
      </w:pPr>
      <w:r>
        <w:rPr>
          <w:rStyle w:val="6"/>
          <w:rFonts w:hint="eastAsia"/>
          <w:sz w:val="24"/>
          <w:szCs w:val="24"/>
          <w:rtl w:val="0"/>
          <w:lang w:val="en-US" w:eastAsia="zh-CN"/>
        </w:rPr>
        <w:t>极度衰弱及重症贫血者</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下列关于微卡预防性用药的描述，错误的是</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Style w:val="6"/>
          <w:sz w:val="24"/>
          <w:szCs w:val="24"/>
          <w:rtl w:val="0"/>
        </w:rPr>
        <w:t>保护效果稳定</w:t>
      </w:r>
    </w:p>
    <w:p>
      <w:pPr>
        <w:pStyle w:val="8"/>
        <w:numPr>
          <w:ilvl w:val="1"/>
          <w:numId w:val="1"/>
        </w:numPr>
        <w:ind w:firstLineChars="0"/>
        <w:rPr>
          <w:color w:val="auto"/>
          <w:highlight w:val="none"/>
          <w:shd w:val="clear" w:color="auto" w:fill="auto"/>
        </w:rPr>
      </w:pPr>
      <w:r>
        <w:rPr>
          <w:rFonts w:hint="eastAsia"/>
          <w:b w:val="0"/>
          <w:bCs w:val="0"/>
          <w:lang w:val="en-US" w:eastAsia="zh-CN"/>
        </w:rPr>
        <w:t>程序复杂</w:t>
      </w:r>
    </w:p>
    <w:p>
      <w:pPr>
        <w:pStyle w:val="8"/>
        <w:numPr>
          <w:ilvl w:val="1"/>
          <w:numId w:val="1"/>
        </w:numPr>
        <w:ind w:firstLineChars="0"/>
        <w:rPr>
          <w:color w:val="auto"/>
          <w:highlight w:val="none"/>
          <w:shd w:val="clear" w:color="auto" w:fill="auto"/>
        </w:rPr>
      </w:pPr>
      <w:r>
        <w:rPr>
          <w:rStyle w:val="6"/>
          <w:sz w:val="24"/>
          <w:szCs w:val="24"/>
          <w:rtl w:val="0"/>
        </w:rPr>
        <w:t>安全性好，无肝毒性</w:t>
      </w:r>
    </w:p>
    <w:p>
      <w:pPr>
        <w:pStyle w:val="8"/>
        <w:numPr>
          <w:ilvl w:val="1"/>
          <w:numId w:val="1"/>
        </w:numPr>
        <w:ind w:firstLineChars="0"/>
        <w:rPr>
          <w:color w:val="auto"/>
          <w:highlight w:val="none"/>
          <w:shd w:val="clear" w:color="auto" w:fill="auto"/>
        </w:rPr>
      </w:pPr>
      <w:r>
        <w:rPr>
          <w:rStyle w:val="6"/>
          <w:rFonts w:hint="eastAsia"/>
          <w:sz w:val="24"/>
          <w:szCs w:val="24"/>
          <w:rtl w:val="0"/>
          <w:lang w:val="en-US" w:eastAsia="zh-CN"/>
        </w:rPr>
        <w:t>不产生耐药</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Fonts w:hint="eastAsia"/>
          <w:rtl w:val="0"/>
          <w:lang w:val="en-US" w:eastAsia="zh-CN"/>
        </w:rPr>
        <w:t>下列描述中，对我国开展的</w:t>
      </w:r>
      <w:r>
        <w:rPr>
          <w:rStyle w:val="6"/>
          <w:rFonts w:hint="eastAsia"/>
          <w:rtl w:val="0"/>
        </w:rPr>
        <w:t>无结核社区主要工作内容及考核指标</w:t>
      </w:r>
      <w:r>
        <w:rPr>
          <w:rStyle w:val="6"/>
          <w:rFonts w:hint="eastAsia"/>
          <w:rtl w:val="0"/>
          <w:lang w:val="en-US" w:eastAsia="zh-CN"/>
        </w:rPr>
        <w:t>错误的是</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b w:val="0"/>
          <w:bCs w:val="0"/>
          <w:lang w:val="en-US" w:eastAsia="zh-CN"/>
        </w:rPr>
        <w:t>要求结核潜伏感染人群中，预防性干预覆盖率达到80%及以上</w:t>
      </w:r>
    </w:p>
    <w:p>
      <w:pPr>
        <w:pStyle w:val="8"/>
        <w:numPr>
          <w:ilvl w:val="1"/>
          <w:numId w:val="1"/>
        </w:numPr>
        <w:ind w:firstLineChars="0"/>
        <w:rPr>
          <w:color w:val="auto"/>
          <w:highlight w:val="none"/>
          <w:shd w:val="clear" w:color="auto" w:fill="auto"/>
        </w:rPr>
      </w:pPr>
      <w:r>
        <w:rPr>
          <w:rFonts w:hint="eastAsia"/>
          <w:b w:val="0"/>
          <w:bCs w:val="0"/>
          <w:lang w:val="en-US" w:eastAsia="zh-CN"/>
        </w:rPr>
        <w:t>要求高危人群筛查比例达到85%及以上</w:t>
      </w:r>
    </w:p>
    <w:p>
      <w:pPr>
        <w:pStyle w:val="8"/>
        <w:numPr>
          <w:ilvl w:val="1"/>
          <w:numId w:val="1"/>
        </w:numPr>
        <w:ind w:firstLineChars="0"/>
        <w:rPr>
          <w:color w:val="auto"/>
          <w:highlight w:val="none"/>
          <w:shd w:val="clear" w:color="auto" w:fill="auto"/>
        </w:rPr>
      </w:pPr>
      <w:r>
        <w:rPr>
          <w:rFonts w:hint="eastAsia"/>
          <w:b w:val="0"/>
          <w:bCs w:val="0"/>
          <w:lang w:val="en-US" w:eastAsia="zh-CN"/>
        </w:rPr>
        <w:t>要求预防性干预治疗率90%及以上</w:t>
      </w:r>
    </w:p>
    <w:p>
      <w:pPr>
        <w:pStyle w:val="8"/>
        <w:numPr>
          <w:ilvl w:val="1"/>
          <w:numId w:val="1"/>
        </w:numPr>
        <w:ind w:firstLineChars="0"/>
        <w:rPr>
          <w:color w:val="auto"/>
          <w:highlight w:val="none"/>
          <w:shd w:val="clear" w:color="auto" w:fill="auto"/>
        </w:rPr>
      </w:pPr>
      <w:r>
        <w:rPr>
          <w:rFonts w:hint="eastAsia"/>
          <w:b w:val="0"/>
          <w:bCs w:val="0"/>
          <w:lang w:val="en-US" w:eastAsia="zh-CN"/>
        </w:rPr>
        <w:t>要求结核潜伏感染人群预防性干预完成率达到95%及以上</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以下对</w:t>
      </w:r>
      <w:r>
        <w:rPr>
          <w:rStyle w:val="6"/>
          <w:rFonts w:hint="eastAsia"/>
          <w:rtl w:val="0"/>
          <w:lang w:val="en-US" w:eastAsia="zh-CN"/>
        </w:rPr>
        <w:t>智克威得</w:t>
      </w:r>
      <w:r>
        <w:rPr>
          <w:rStyle w:val="6"/>
          <w:rtl w:val="0"/>
        </w:rPr>
        <w:t>的产品</w:t>
      </w:r>
      <w:r>
        <w:rPr>
          <w:rStyle w:val="6"/>
          <w:rFonts w:hint="eastAsia" w:eastAsia="宋体"/>
          <w:rtl w:val="0"/>
          <w:lang w:val="en-US" w:eastAsia="zh-CN"/>
        </w:rPr>
        <w:t>研发</w:t>
      </w:r>
      <w:r>
        <w:rPr>
          <w:rStyle w:val="6"/>
          <w:rtl w:val="0"/>
        </w:rPr>
        <w:t>特性描述错误的是</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Style w:val="6"/>
          <w:sz w:val="24"/>
          <w:szCs w:val="24"/>
          <w:rtl w:val="0"/>
        </w:rPr>
        <w:t>具有自主产权的专利技术</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采用独有的RBD区二聚化专利技术，较常规单体RBD抗原显著增强免疫原性</w:t>
      </w:r>
      <w:r>
        <w:rPr>
          <w:rFonts w:hint="default"/>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无病毒核酸成分，安全性优于传统疫苗，</w:t>
      </w:r>
      <w:r>
        <w:rPr>
          <w:rStyle w:val="6"/>
          <w:rFonts w:hint="eastAsia"/>
          <w:sz w:val="24"/>
          <w:szCs w:val="24"/>
          <w:rtl w:val="0"/>
          <w:lang w:val="en-US" w:eastAsia="zh-CN"/>
        </w:rPr>
        <w:t>但</w:t>
      </w:r>
      <w:r>
        <w:rPr>
          <w:rStyle w:val="6"/>
          <w:sz w:val="24"/>
          <w:szCs w:val="24"/>
          <w:rtl w:val="0"/>
        </w:rPr>
        <w:t>会造成接种单位环境样本阳性</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诱导高度多样化的RBD中和抗体，且不受NTD突变影响，对变异株的耐受性和中和能力提高</w:t>
      </w:r>
      <w:r>
        <w:rPr>
          <w:rFonts w:hint="eastAsia"/>
          <w:b w:val="0"/>
          <w:bCs w:val="0"/>
          <w:lang w:val="en-US" w:eastAsia="zh-CN"/>
        </w:rPr>
        <w:t>。</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国际多中心III期临床试验显示，≥18岁成年人接种3剂</w:t>
      </w:r>
      <w:r>
        <w:rPr>
          <w:rStyle w:val="6"/>
          <w:rFonts w:hint="eastAsia"/>
          <w:rtl w:val="0"/>
          <w:lang w:eastAsia="zh-CN"/>
        </w:rPr>
        <w:t>智克威得</w:t>
      </w:r>
      <w:r>
        <w:rPr>
          <w:rStyle w:val="6"/>
          <w:rtl w:val="0"/>
        </w:rPr>
        <w:t>后，预防任何严重程度COVID-19的保护效力为</w:t>
      </w:r>
      <w:r>
        <w:rPr>
          <w:rStyle w:val="6"/>
          <w:rFonts w:hint="eastAsia"/>
          <w:u w:val="single"/>
          <w:rtl w:val="0"/>
          <w:lang w:val="en-US" w:eastAsia="zh-CN"/>
        </w:rPr>
        <w:t xml:space="preserve">     </w:t>
      </w:r>
      <w:r>
        <w:rPr>
          <w:rStyle w:val="6"/>
          <w:rtl w:val="0"/>
        </w:rPr>
        <w:t>%</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Style w:val="6"/>
          <w:sz w:val="24"/>
          <w:szCs w:val="24"/>
          <w:rtl w:val="0"/>
        </w:rPr>
        <w:t>75.7</w:t>
      </w:r>
    </w:p>
    <w:p>
      <w:pPr>
        <w:pStyle w:val="8"/>
        <w:numPr>
          <w:ilvl w:val="1"/>
          <w:numId w:val="1"/>
        </w:numPr>
        <w:ind w:firstLineChars="0"/>
        <w:rPr>
          <w:color w:val="auto"/>
          <w:highlight w:val="none"/>
          <w:shd w:val="clear" w:color="auto" w:fill="auto"/>
        </w:rPr>
      </w:pPr>
      <w:r>
        <w:rPr>
          <w:rStyle w:val="6"/>
          <w:sz w:val="24"/>
          <w:szCs w:val="24"/>
          <w:rtl w:val="0"/>
        </w:rPr>
        <w:t>76.1</w:t>
      </w:r>
    </w:p>
    <w:p>
      <w:pPr>
        <w:pStyle w:val="8"/>
        <w:numPr>
          <w:ilvl w:val="1"/>
          <w:numId w:val="1"/>
        </w:numPr>
        <w:ind w:firstLineChars="0"/>
        <w:rPr>
          <w:color w:val="auto"/>
          <w:highlight w:val="none"/>
          <w:shd w:val="clear" w:color="auto" w:fill="auto"/>
        </w:rPr>
      </w:pPr>
      <w:r>
        <w:rPr>
          <w:rFonts w:hint="eastAsia"/>
          <w:b w:val="0"/>
          <w:bCs w:val="0"/>
          <w:lang w:val="en-US" w:eastAsia="zh-CN"/>
        </w:rPr>
        <w:t>81.38</w:t>
      </w:r>
    </w:p>
    <w:p>
      <w:pPr>
        <w:pStyle w:val="8"/>
        <w:numPr>
          <w:ilvl w:val="1"/>
          <w:numId w:val="1"/>
        </w:numPr>
        <w:ind w:firstLineChars="0"/>
        <w:rPr>
          <w:color w:val="auto"/>
          <w:highlight w:val="none"/>
          <w:shd w:val="clear" w:color="auto" w:fill="auto"/>
        </w:rPr>
      </w:pPr>
      <w:r>
        <w:rPr>
          <w:rFonts w:hint="eastAsia"/>
          <w:b w:val="0"/>
          <w:bCs w:val="0"/>
          <w:lang w:val="en-US" w:eastAsia="zh-CN"/>
        </w:rPr>
        <w:t>81.43</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国际多中心III期临床试验显示，在≥18岁成年人全程接种3剂</w:t>
      </w:r>
      <w:r>
        <w:rPr>
          <w:rStyle w:val="6"/>
          <w:rFonts w:hint="eastAsia"/>
          <w:rtl w:val="0"/>
          <w:lang w:eastAsia="zh-CN"/>
        </w:rPr>
        <w:t>智克威得</w:t>
      </w:r>
      <w:r>
        <w:rPr>
          <w:rStyle w:val="6"/>
          <w:rtl w:val="0"/>
        </w:rPr>
        <w:t>后6个月的长期有效性分析中，疫苗有效性的幅度下降较小，预防任何严重程度COVID-19的保护效力仍然可达</w:t>
      </w:r>
      <w:r>
        <w:rPr>
          <w:rStyle w:val="6"/>
          <w:rFonts w:hint="eastAsia"/>
          <w:u w:val="single"/>
          <w:rtl w:val="0"/>
          <w:lang w:val="en-US" w:eastAsia="zh-CN"/>
        </w:rPr>
        <w:t xml:space="preserve">     </w:t>
      </w:r>
      <w:r>
        <w:rPr>
          <w:rStyle w:val="6"/>
          <w:rtl w:val="0"/>
        </w:rPr>
        <w:t>%</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a</w:t>
      </w:r>
    </w:p>
    <w:p>
      <w:pPr>
        <w:pStyle w:val="8"/>
        <w:numPr>
          <w:ilvl w:val="1"/>
          <w:numId w:val="1"/>
        </w:numPr>
        <w:ind w:firstLineChars="0"/>
        <w:rPr>
          <w:color w:val="auto"/>
          <w:highlight w:val="none"/>
          <w:shd w:val="clear" w:color="auto" w:fill="auto"/>
        </w:rPr>
      </w:pPr>
      <w:r>
        <w:rPr>
          <w:rStyle w:val="6"/>
          <w:sz w:val="24"/>
          <w:szCs w:val="24"/>
          <w:rtl w:val="0"/>
        </w:rPr>
        <w:t>75.7</w:t>
      </w:r>
    </w:p>
    <w:p>
      <w:pPr>
        <w:pStyle w:val="8"/>
        <w:numPr>
          <w:ilvl w:val="1"/>
          <w:numId w:val="1"/>
        </w:numPr>
        <w:ind w:firstLineChars="0"/>
        <w:rPr>
          <w:color w:val="auto"/>
          <w:highlight w:val="none"/>
          <w:shd w:val="clear" w:color="auto" w:fill="auto"/>
        </w:rPr>
      </w:pPr>
      <w:r>
        <w:rPr>
          <w:rStyle w:val="6"/>
          <w:sz w:val="24"/>
          <w:szCs w:val="24"/>
          <w:rtl w:val="0"/>
        </w:rPr>
        <w:t>76.1</w:t>
      </w:r>
    </w:p>
    <w:p>
      <w:pPr>
        <w:pStyle w:val="8"/>
        <w:numPr>
          <w:ilvl w:val="1"/>
          <w:numId w:val="1"/>
        </w:numPr>
        <w:ind w:firstLineChars="0"/>
        <w:rPr>
          <w:color w:val="auto"/>
          <w:highlight w:val="none"/>
          <w:shd w:val="clear" w:color="auto" w:fill="auto"/>
        </w:rPr>
      </w:pPr>
      <w:r>
        <w:rPr>
          <w:rFonts w:hint="eastAsia"/>
          <w:b w:val="0"/>
          <w:bCs w:val="0"/>
          <w:lang w:val="en-US" w:eastAsia="zh-CN"/>
        </w:rPr>
        <w:t>81.38</w:t>
      </w:r>
    </w:p>
    <w:p>
      <w:pPr>
        <w:pStyle w:val="8"/>
        <w:numPr>
          <w:ilvl w:val="1"/>
          <w:numId w:val="1"/>
        </w:numPr>
        <w:ind w:firstLineChars="0"/>
        <w:rPr>
          <w:color w:val="auto"/>
          <w:highlight w:val="none"/>
          <w:shd w:val="clear" w:color="auto" w:fill="auto"/>
        </w:rPr>
      </w:pPr>
      <w:r>
        <w:rPr>
          <w:rFonts w:hint="eastAsia"/>
          <w:b w:val="0"/>
          <w:bCs w:val="0"/>
          <w:lang w:val="en-US" w:eastAsia="zh-CN"/>
        </w:rPr>
        <w:t>81.43</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中科院微生物研究所研究结果显示: 接受</w:t>
      </w:r>
      <w:r>
        <w:rPr>
          <w:rStyle w:val="6"/>
          <w:rFonts w:hint="eastAsia"/>
          <w:rtl w:val="0"/>
          <w:lang w:eastAsia="zh-CN"/>
        </w:rPr>
        <w:t>智克威得</w:t>
      </w:r>
      <w:r>
        <w:rPr>
          <w:rStyle w:val="6"/>
          <w:rtl w:val="0"/>
        </w:rPr>
        <w:t>3剂 (0-1-5月接种程序) 后，针对Omicron株中和抗体阳性率达</w:t>
      </w:r>
      <w:r>
        <w:rPr>
          <w:rStyle w:val="6"/>
          <w:rFonts w:hint="eastAsia"/>
          <w:u w:val="single"/>
          <w:rtl w:val="0"/>
          <w:lang w:val="en-US" w:eastAsia="zh-CN"/>
        </w:rPr>
        <w:t xml:space="preserve">     </w:t>
      </w:r>
      <w:r>
        <w:rPr>
          <w:rStyle w:val="6"/>
          <w:rtl w:val="0"/>
        </w:rPr>
        <w:t>%</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b w:val="0"/>
          <w:bCs w:val="0"/>
          <w:lang w:val="en-US" w:eastAsia="zh-CN"/>
        </w:rPr>
        <w:t>81.38</w:t>
      </w:r>
    </w:p>
    <w:p>
      <w:pPr>
        <w:pStyle w:val="8"/>
        <w:numPr>
          <w:ilvl w:val="1"/>
          <w:numId w:val="1"/>
        </w:numPr>
        <w:ind w:firstLineChars="0"/>
        <w:rPr>
          <w:color w:val="auto"/>
          <w:highlight w:val="none"/>
          <w:shd w:val="clear" w:color="auto" w:fill="auto"/>
        </w:rPr>
      </w:pPr>
      <w:r>
        <w:rPr>
          <w:rFonts w:hint="eastAsia"/>
          <w:b w:val="0"/>
          <w:bCs w:val="0"/>
          <w:lang w:val="en-US" w:eastAsia="zh-CN"/>
        </w:rPr>
        <w:t>81.43</w:t>
      </w:r>
    </w:p>
    <w:p>
      <w:pPr>
        <w:pStyle w:val="8"/>
        <w:numPr>
          <w:ilvl w:val="1"/>
          <w:numId w:val="1"/>
        </w:numPr>
        <w:ind w:firstLineChars="0"/>
        <w:rPr>
          <w:color w:val="auto"/>
          <w:highlight w:val="none"/>
          <w:shd w:val="clear" w:color="auto" w:fill="auto"/>
        </w:rPr>
      </w:pPr>
      <w:r>
        <w:rPr>
          <w:rFonts w:hint="eastAsia"/>
          <w:b w:val="0"/>
          <w:bCs w:val="0"/>
          <w:lang w:val="en-US" w:eastAsia="zh-CN"/>
        </w:rPr>
        <w:t>92.87</w:t>
      </w:r>
    </w:p>
    <w:p>
      <w:pPr>
        <w:pStyle w:val="8"/>
        <w:numPr>
          <w:ilvl w:val="1"/>
          <w:numId w:val="1"/>
        </w:numPr>
        <w:ind w:firstLineChars="0"/>
        <w:rPr>
          <w:color w:val="auto"/>
          <w:highlight w:val="none"/>
          <w:shd w:val="clear" w:color="auto" w:fill="auto"/>
        </w:rPr>
      </w:pPr>
      <w:r>
        <w:rPr>
          <w:rFonts w:hint="eastAsia"/>
          <w:b w:val="0"/>
          <w:bCs w:val="0"/>
          <w:lang w:val="en-US" w:eastAsia="zh-CN"/>
        </w:rPr>
        <w:t>100</w:t>
      </w:r>
    </w:p>
    <w:p>
      <w:pPr>
        <w:pStyle w:val="8"/>
        <w:numPr>
          <w:ilvl w:val="0"/>
          <w:numId w:val="0"/>
        </w:numPr>
        <w:ind w:right="0" w:rightChars="0"/>
        <w:rPr>
          <w:rFonts w:hint="default"/>
          <w:b w:val="0"/>
          <w:bCs w:val="0"/>
          <w:lang w:val="en-US" w:eastAsia="zh-CN"/>
        </w:rPr>
      </w:pPr>
    </w:p>
    <w:p>
      <w:pPr>
        <w:pStyle w:val="8"/>
        <w:numPr>
          <w:ilvl w:val="0"/>
          <w:numId w:val="1"/>
        </w:numPr>
        <w:ind w:firstLineChars="0"/>
        <w:rPr>
          <w:b/>
          <w:color w:val="auto"/>
          <w:highlight w:val="none"/>
          <w:shd w:val="clear" w:color="auto" w:fill="auto"/>
        </w:rPr>
      </w:pPr>
      <w:r>
        <w:rPr>
          <w:rStyle w:val="6"/>
          <w:rtl w:val="0"/>
        </w:rPr>
        <w:t>复旦大学张文宏团队研究显示: 接种2剂灭活疫苗的受试者中，智克威得异源加强14天后，血清Omicron中和抗体阳性率达到</w:t>
      </w:r>
      <w:r>
        <w:rPr>
          <w:rStyle w:val="6"/>
          <w:rFonts w:hint="eastAsia"/>
          <w:u w:val="single"/>
          <w:rtl w:val="0"/>
          <w:lang w:val="en-US" w:eastAsia="zh-CN"/>
        </w:rPr>
        <w:t xml:space="preserve">     </w:t>
      </w:r>
      <w:r>
        <w:rPr>
          <w:rStyle w:val="6"/>
          <w:rtl w:val="0"/>
        </w:rPr>
        <w:t>%</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b w:val="0"/>
          <w:bCs w:val="0"/>
          <w:lang w:val="en-US" w:eastAsia="zh-CN"/>
        </w:rPr>
        <w:t>81.38</w:t>
      </w:r>
    </w:p>
    <w:p>
      <w:pPr>
        <w:pStyle w:val="8"/>
        <w:numPr>
          <w:ilvl w:val="1"/>
          <w:numId w:val="1"/>
        </w:numPr>
        <w:ind w:firstLineChars="0"/>
        <w:rPr>
          <w:color w:val="auto"/>
          <w:highlight w:val="none"/>
          <w:shd w:val="clear" w:color="auto" w:fill="auto"/>
        </w:rPr>
      </w:pPr>
      <w:r>
        <w:rPr>
          <w:rFonts w:hint="eastAsia"/>
          <w:b w:val="0"/>
          <w:bCs w:val="0"/>
          <w:lang w:val="en-US" w:eastAsia="zh-CN"/>
        </w:rPr>
        <w:t>81.43</w:t>
      </w:r>
    </w:p>
    <w:p>
      <w:pPr>
        <w:pStyle w:val="8"/>
        <w:numPr>
          <w:ilvl w:val="1"/>
          <w:numId w:val="1"/>
        </w:numPr>
        <w:ind w:firstLineChars="0"/>
        <w:rPr>
          <w:color w:val="auto"/>
          <w:highlight w:val="none"/>
          <w:shd w:val="clear" w:color="auto" w:fill="auto"/>
        </w:rPr>
      </w:pPr>
      <w:r>
        <w:rPr>
          <w:rFonts w:hint="eastAsia"/>
          <w:b w:val="0"/>
          <w:bCs w:val="0"/>
          <w:lang w:val="en-US" w:eastAsia="zh-CN"/>
        </w:rPr>
        <w:t>92.87</w:t>
      </w:r>
    </w:p>
    <w:p>
      <w:pPr>
        <w:pStyle w:val="8"/>
        <w:numPr>
          <w:ilvl w:val="1"/>
          <w:numId w:val="1"/>
        </w:numPr>
        <w:ind w:firstLineChars="0"/>
        <w:rPr>
          <w:color w:val="auto"/>
          <w:highlight w:val="none"/>
          <w:shd w:val="clear" w:color="auto" w:fill="auto"/>
        </w:rPr>
      </w:pPr>
      <w:r>
        <w:rPr>
          <w:rFonts w:hint="eastAsia"/>
          <w:b w:val="0"/>
          <w:bCs w:val="0"/>
          <w:lang w:val="en-US" w:eastAsia="zh-CN"/>
        </w:rPr>
        <w:t>100</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tl w:val="0"/>
        </w:rPr>
        <w:t>下列对钟南山院士等在接种2剂灭活疫苗的受试者中，</w:t>
      </w:r>
      <w:r>
        <w:rPr>
          <w:rStyle w:val="6"/>
          <w:rFonts w:hint="eastAsia"/>
          <w:rtl w:val="0"/>
          <w:lang w:eastAsia="zh-CN"/>
        </w:rPr>
        <w:t>智克威得</w:t>
      </w:r>
      <w:r>
        <w:rPr>
          <w:rStyle w:val="6"/>
          <w:rtl w:val="0"/>
        </w:rPr>
        <w:t xml:space="preserve">异源加强效果的研究，对异源加强优势描述错误的是 </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Style w:val="6"/>
          <w:sz w:val="24"/>
          <w:szCs w:val="24"/>
          <w:rtl w:val="0"/>
        </w:rPr>
        <w:t>异源加强比同源加强具有更高的免疫原性</w:t>
      </w:r>
    </w:p>
    <w:p>
      <w:pPr>
        <w:pStyle w:val="8"/>
        <w:numPr>
          <w:ilvl w:val="1"/>
          <w:numId w:val="1"/>
        </w:numPr>
        <w:ind w:firstLineChars="0"/>
        <w:rPr>
          <w:color w:val="auto"/>
          <w:highlight w:val="none"/>
          <w:shd w:val="clear" w:color="auto" w:fill="auto"/>
        </w:rPr>
      </w:pPr>
      <w:r>
        <w:rPr>
          <w:rStyle w:val="6"/>
          <w:sz w:val="24"/>
          <w:szCs w:val="24"/>
          <w:rtl w:val="0"/>
        </w:rPr>
        <w:t>中和抗体（假病毒）水平，</w:t>
      </w:r>
      <w:bookmarkStart w:id="0" w:name="_GoBack"/>
      <w:bookmarkEnd w:id="0"/>
      <w:r>
        <w:rPr>
          <w:rStyle w:val="6"/>
          <w:sz w:val="24"/>
          <w:szCs w:val="24"/>
          <w:rtl w:val="0"/>
        </w:rPr>
        <w:t>异源比同源高约6倍</w:t>
      </w:r>
      <w:r>
        <w:rPr>
          <w:rFonts w:hint="default"/>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异源加强针接种后第14天和第1个月，对Omicron中和抗体（假病毒）水平没有辉瑞mRNA疫苗第三针效果好</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异源更有效地增强病毒特异性CD4+T细胞应答</w:t>
      </w:r>
      <w:r>
        <w:rPr>
          <w:rFonts w:hint="eastAsia"/>
          <w:b w:val="0"/>
          <w:bCs w:val="0"/>
          <w:lang w:val="en-US" w:eastAsia="zh-CN"/>
        </w:rPr>
        <w:t>。</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Style w:val="6"/>
          <w:rFonts w:hint="eastAsia"/>
          <w:rtl w:val="0"/>
          <w:lang w:val="en-US" w:eastAsia="zh-CN"/>
        </w:rPr>
        <w:t>下列关于</w:t>
      </w:r>
      <w:r>
        <w:rPr>
          <w:rStyle w:val="6"/>
          <w:rFonts w:hint="eastAsia"/>
          <w:rtl w:val="0"/>
          <w:lang w:eastAsia="zh-CN"/>
        </w:rPr>
        <w:t>智克威得</w:t>
      </w:r>
      <w:r>
        <w:rPr>
          <w:rStyle w:val="6"/>
          <w:rFonts w:hint="eastAsia"/>
          <w:rtl w:val="0"/>
          <w:lang w:val="en-US" w:eastAsia="zh-CN"/>
        </w:rPr>
        <w:t>加强接种效果，描述正确的是：</w:t>
      </w:r>
      <w:r>
        <w:rPr>
          <w:rStyle w:val="6"/>
          <w:rtl w:val="0"/>
        </w:rPr>
        <w:t>序贯加强第4针研究（间隔6个月）结果显示：试验组（3针灭活+1针重组）相对于对照组（4针灭活疫苗），使用真病毒检测Omicron株BA.2型中和抗体GMT合计增长</w:t>
      </w:r>
      <w:r>
        <w:rPr>
          <w:rStyle w:val="6"/>
          <w:rFonts w:hint="eastAsia"/>
          <w:u w:val="single"/>
          <w:rtl w:val="0"/>
          <w:lang w:val="en-US" w:eastAsia="zh-CN"/>
        </w:rPr>
        <w:t xml:space="preserve">     </w:t>
      </w:r>
      <w:r>
        <w:rPr>
          <w:rStyle w:val="6"/>
          <w:rtl w:val="0"/>
        </w:rPr>
        <w:t>倍</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Style w:val="6"/>
          <w:rFonts w:hint="eastAsia"/>
          <w:rtl w:val="0"/>
          <w:lang w:val="en-US" w:eastAsia="zh-CN"/>
        </w:rPr>
        <w:t>智克威得</w:t>
      </w:r>
      <w:r>
        <w:rPr>
          <w:rStyle w:val="6"/>
          <w:rtl w:val="0"/>
        </w:rPr>
        <w:t>序贯加强第4针研究（间隔6个月）结果显示：试验组（3针灭活+1针重组）相对于对照组（4针灭活疫苗），使用真病毒检测Omicron株BA.2型中和抗体GMT合计增长</w:t>
      </w:r>
      <w:r>
        <w:rPr>
          <w:rStyle w:val="6"/>
          <w:rFonts w:hint="eastAsia"/>
          <w:u w:val="none"/>
          <w:rtl w:val="0"/>
          <w:lang w:val="en-US" w:eastAsia="zh-CN"/>
        </w:rPr>
        <w:t>3.7</w:t>
      </w:r>
      <w:r>
        <w:rPr>
          <w:rStyle w:val="6"/>
          <w:rtl w:val="0"/>
        </w:rPr>
        <w:t>倍</w:t>
      </w:r>
    </w:p>
    <w:p>
      <w:pPr>
        <w:pStyle w:val="8"/>
        <w:numPr>
          <w:ilvl w:val="1"/>
          <w:numId w:val="1"/>
        </w:numPr>
        <w:ind w:firstLineChars="0"/>
        <w:rPr>
          <w:rFonts w:hint="eastAsia"/>
          <w:b w:val="0"/>
          <w:bCs w:val="0"/>
          <w:lang w:val="en-US" w:eastAsia="zh-CN"/>
        </w:rPr>
      </w:pPr>
      <w:r>
        <w:rPr>
          <w:rFonts w:hint="eastAsia"/>
          <w:b w:val="0"/>
          <w:bCs w:val="0"/>
          <w:lang w:val="en-US" w:eastAsia="zh-CN"/>
        </w:rPr>
        <w:t>智克威得序贯加强第4针研究结果（间隔12个月），使用假病毒进行检测，与对照组（4针灭活疫苗）相比，重组蛋白疫苗异源加强第4针后，针对Omicron株BA.4/5的中和抗体GMT增长4.7倍.</w:t>
      </w:r>
    </w:p>
    <w:p>
      <w:pPr>
        <w:pStyle w:val="8"/>
        <w:numPr>
          <w:ilvl w:val="1"/>
          <w:numId w:val="1"/>
        </w:numPr>
        <w:ind w:firstLineChars="0"/>
        <w:rPr>
          <w:rFonts w:hint="default"/>
          <w:color w:val="auto"/>
          <w:highlight w:val="none"/>
          <w:shd w:val="clear" w:color="auto" w:fill="auto"/>
          <w:lang w:val="en-US"/>
        </w:rPr>
      </w:pPr>
      <w:r>
        <w:rPr>
          <w:rStyle w:val="6"/>
          <w:rtl w:val="0"/>
        </w:rPr>
        <w:t>广东公卫检测结果：重组蛋白疫苗同源第4针加强免疫后，对OmicronBA.2株的中和抗体GMT均大幅增长，18-59岁较免前GMT增长达</w:t>
      </w:r>
      <w:r>
        <w:rPr>
          <w:rStyle w:val="6"/>
          <w:rFonts w:hint="eastAsia"/>
          <w:rtl w:val="0"/>
          <w:lang w:val="en-US" w:eastAsia="zh-CN"/>
        </w:rPr>
        <w:t>49.4倍</w:t>
      </w:r>
    </w:p>
    <w:p>
      <w:pPr>
        <w:pStyle w:val="8"/>
        <w:numPr>
          <w:ilvl w:val="1"/>
          <w:numId w:val="1"/>
        </w:numPr>
        <w:ind w:firstLineChars="0"/>
        <w:rPr>
          <w:rFonts w:hint="default"/>
          <w:color w:val="auto"/>
          <w:highlight w:val="none"/>
          <w:shd w:val="clear" w:color="auto" w:fill="auto"/>
          <w:lang w:val="en-US"/>
        </w:rPr>
      </w:pPr>
      <w:r>
        <w:rPr>
          <w:rFonts w:hint="eastAsia"/>
          <w:b w:val="0"/>
          <w:bCs w:val="0"/>
          <w:lang w:val="en-US" w:eastAsia="zh-CN"/>
        </w:rPr>
        <w:t>中检院假病毒检测结果：重组蛋白疫苗同源第4针加强免疫（间隔6与12个月）后，原型株、Omicron株 BA.2.12.1、Omicron 株BA.4/5中和抗体GMT均大幅增长,且间隔12个月加强免疫GMT增长倍数更高，针对BA.4/5高达6.7倍。</w:t>
      </w:r>
    </w:p>
    <w:p>
      <w:pPr>
        <w:pStyle w:val="8"/>
        <w:numPr>
          <w:ilvl w:val="0"/>
          <w:numId w:val="0"/>
        </w:numPr>
        <w:ind w:right="0" w:rightChars="0"/>
        <w:rPr>
          <w:rFonts w:hint="default"/>
          <w:b w:val="0"/>
          <w:bCs w:val="0"/>
          <w:lang w:val="en-US" w:eastAsia="zh-CN"/>
        </w:rPr>
      </w:pPr>
    </w:p>
    <w:p>
      <w:pPr>
        <w:pStyle w:val="8"/>
        <w:numPr>
          <w:ilvl w:val="0"/>
          <w:numId w:val="1"/>
        </w:numPr>
        <w:ind w:firstLineChars="0"/>
        <w:rPr>
          <w:b/>
          <w:color w:val="auto"/>
          <w:highlight w:val="none"/>
          <w:shd w:val="clear" w:color="auto" w:fill="auto"/>
        </w:rPr>
      </w:pPr>
      <w:r>
        <w:rPr>
          <w:rStyle w:val="6"/>
          <w:rtl w:val="0"/>
        </w:rPr>
        <w:t>中国CDC研究结果显示：</w:t>
      </w:r>
      <w:r>
        <w:rPr>
          <w:rStyle w:val="6"/>
          <w:rFonts w:hint="eastAsia"/>
          <w:rtl w:val="0"/>
          <w:lang w:eastAsia="zh-CN"/>
        </w:rPr>
        <w:t>智克威得</w:t>
      </w:r>
      <w:r>
        <w:rPr>
          <w:rStyle w:val="6"/>
          <w:rtl w:val="0"/>
        </w:rPr>
        <w:t>3针基础免疫后14 天，Omicron BA.5真病毒中和试验显示，3-17周岁未成年人中和抗体阳转率为</w:t>
      </w:r>
      <w:r>
        <w:rPr>
          <w:rStyle w:val="6"/>
          <w:rFonts w:hint="eastAsia"/>
          <w:u w:val="single"/>
          <w:rtl w:val="0"/>
          <w:lang w:val="en-US" w:eastAsia="zh-CN"/>
        </w:rPr>
        <w:t xml:space="preserve">    </w:t>
      </w:r>
      <w:r>
        <w:rPr>
          <w:rStyle w:val="6"/>
          <w:rtl w:val="0"/>
        </w:rPr>
        <w:t xml:space="preserve">% </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b w:val="0"/>
          <w:bCs w:val="0"/>
          <w:lang w:val="en-US" w:eastAsia="zh-CN"/>
        </w:rPr>
        <w:t>81.43</w:t>
      </w:r>
    </w:p>
    <w:p>
      <w:pPr>
        <w:pStyle w:val="8"/>
        <w:numPr>
          <w:ilvl w:val="1"/>
          <w:numId w:val="1"/>
        </w:numPr>
        <w:ind w:firstLineChars="0"/>
        <w:rPr>
          <w:color w:val="auto"/>
          <w:highlight w:val="none"/>
          <w:shd w:val="clear" w:color="auto" w:fill="auto"/>
        </w:rPr>
      </w:pPr>
      <w:r>
        <w:rPr>
          <w:rFonts w:hint="eastAsia"/>
          <w:b w:val="0"/>
          <w:bCs w:val="0"/>
          <w:lang w:val="en-US" w:eastAsia="zh-CN"/>
        </w:rPr>
        <w:t>91.67</w:t>
      </w:r>
    </w:p>
    <w:p>
      <w:pPr>
        <w:pStyle w:val="8"/>
        <w:numPr>
          <w:ilvl w:val="1"/>
          <w:numId w:val="1"/>
        </w:numPr>
        <w:ind w:firstLineChars="0"/>
        <w:rPr>
          <w:color w:val="auto"/>
          <w:highlight w:val="none"/>
          <w:shd w:val="clear" w:color="auto" w:fill="auto"/>
        </w:rPr>
      </w:pPr>
      <w:r>
        <w:rPr>
          <w:rFonts w:hint="eastAsia"/>
          <w:b w:val="0"/>
          <w:bCs w:val="0"/>
          <w:lang w:val="en-US" w:eastAsia="zh-CN"/>
        </w:rPr>
        <w:t>96.67</w:t>
      </w:r>
    </w:p>
    <w:p>
      <w:pPr>
        <w:pStyle w:val="8"/>
        <w:numPr>
          <w:ilvl w:val="1"/>
          <w:numId w:val="1"/>
        </w:numPr>
        <w:ind w:firstLineChars="0"/>
        <w:rPr>
          <w:color w:val="auto"/>
          <w:highlight w:val="none"/>
          <w:shd w:val="clear" w:color="auto" w:fill="auto"/>
        </w:rPr>
      </w:pPr>
      <w:r>
        <w:rPr>
          <w:rFonts w:hint="eastAsia"/>
          <w:b w:val="0"/>
          <w:bCs w:val="0"/>
          <w:lang w:val="en-US" w:eastAsia="zh-CN"/>
        </w:rPr>
        <w:t>100</w:t>
      </w:r>
    </w:p>
    <w:p>
      <w:pPr>
        <w:pStyle w:val="8"/>
        <w:numPr>
          <w:ilvl w:val="0"/>
          <w:numId w:val="0"/>
        </w:numPr>
        <w:ind w:right="0" w:rightChars="0"/>
        <w:rPr>
          <w:rFonts w:hint="default"/>
          <w:b w:val="0"/>
          <w:bCs w:val="0"/>
          <w:lang w:val="en-US" w:eastAsia="zh-CN"/>
        </w:rPr>
      </w:pPr>
    </w:p>
    <w:p>
      <w:pPr>
        <w:pStyle w:val="8"/>
        <w:numPr>
          <w:ilvl w:val="0"/>
          <w:numId w:val="1"/>
        </w:numPr>
        <w:ind w:firstLineChars="0"/>
        <w:rPr>
          <w:b/>
          <w:color w:val="auto"/>
          <w:highlight w:val="none"/>
          <w:shd w:val="clear" w:color="auto" w:fill="auto"/>
        </w:rPr>
      </w:pPr>
      <w:r>
        <w:rPr>
          <w:rStyle w:val="6"/>
          <w:rFonts w:hint="eastAsia"/>
          <w:rtl w:val="0"/>
        </w:rPr>
        <w:t>中国CDC研究结果显示： 3-17周岁未成年人在完成新冠灭活疫苗2针基础免疫后使用重组蛋白新冠疫苗序贯加强免疫1针后14天，针对真病毒Omicron BA.5中和抗体阳转率（4倍增长）</w:t>
      </w:r>
      <w:r>
        <w:rPr>
          <w:rStyle w:val="6"/>
          <w:rtl w:val="0"/>
        </w:rPr>
        <w:t>为</w:t>
      </w:r>
      <w:r>
        <w:rPr>
          <w:rStyle w:val="6"/>
          <w:rFonts w:hint="eastAsia"/>
          <w:u w:val="single"/>
          <w:rtl w:val="0"/>
          <w:lang w:val="en-US" w:eastAsia="zh-CN"/>
        </w:rPr>
        <w:t xml:space="preserve">    </w:t>
      </w:r>
      <w:r>
        <w:rPr>
          <w:rStyle w:val="6"/>
          <w:rtl w:val="0"/>
        </w:rPr>
        <w:t xml:space="preserve">% </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b w:val="0"/>
          <w:bCs w:val="0"/>
          <w:lang w:val="en-US" w:eastAsia="zh-CN"/>
        </w:rPr>
        <w:t>81.43</w:t>
      </w:r>
    </w:p>
    <w:p>
      <w:pPr>
        <w:pStyle w:val="8"/>
        <w:numPr>
          <w:ilvl w:val="1"/>
          <w:numId w:val="1"/>
        </w:numPr>
        <w:ind w:firstLineChars="0"/>
        <w:rPr>
          <w:color w:val="auto"/>
          <w:highlight w:val="none"/>
          <w:shd w:val="clear" w:color="auto" w:fill="auto"/>
        </w:rPr>
      </w:pPr>
      <w:r>
        <w:rPr>
          <w:rFonts w:hint="eastAsia"/>
          <w:b w:val="0"/>
          <w:bCs w:val="0"/>
          <w:lang w:val="en-US" w:eastAsia="zh-CN"/>
        </w:rPr>
        <w:t>91.67</w:t>
      </w:r>
    </w:p>
    <w:p>
      <w:pPr>
        <w:pStyle w:val="8"/>
        <w:numPr>
          <w:ilvl w:val="1"/>
          <w:numId w:val="1"/>
        </w:numPr>
        <w:ind w:firstLineChars="0"/>
        <w:rPr>
          <w:color w:val="auto"/>
          <w:highlight w:val="none"/>
          <w:shd w:val="clear" w:color="auto" w:fill="auto"/>
        </w:rPr>
      </w:pPr>
      <w:r>
        <w:rPr>
          <w:rFonts w:hint="eastAsia"/>
          <w:b w:val="0"/>
          <w:bCs w:val="0"/>
          <w:lang w:val="en-US" w:eastAsia="zh-CN"/>
        </w:rPr>
        <w:t>96.67</w:t>
      </w:r>
    </w:p>
    <w:p>
      <w:pPr>
        <w:pStyle w:val="8"/>
        <w:numPr>
          <w:ilvl w:val="1"/>
          <w:numId w:val="1"/>
        </w:numPr>
        <w:ind w:firstLineChars="0"/>
        <w:rPr>
          <w:color w:val="auto"/>
          <w:highlight w:val="none"/>
          <w:shd w:val="clear" w:color="auto" w:fill="auto"/>
        </w:rPr>
      </w:pPr>
      <w:r>
        <w:rPr>
          <w:rFonts w:hint="eastAsia"/>
          <w:b w:val="0"/>
          <w:bCs w:val="0"/>
          <w:lang w:val="en-US" w:eastAsia="zh-CN"/>
        </w:rPr>
        <w:t>100</w:t>
      </w:r>
    </w:p>
    <w:p>
      <w:pPr>
        <w:pStyle w:val="8"/>
        <w:numPr>
          <w:ilvl w:val="0"/>
          <w:numId w:val="0"/>
        </w:numPr>
        <w:ind w:right="0" w:rightChars="0"/>
        <w:rPr>
          <w:rFonts w:hint="default"/>
          <w:b w:val="0"/>
          <w:bCs w:val="0"/>
          <w:lang w:val="en-US" w:eastAsia="zh-CN"/>
        </w:rPr>
      </w:pPr>
    </w:p>
    <w:p>
      <w:pPr>
        <w:pStyle w:val="8"/>
        <w:numPr>
          <w:ilvl w:val="0"/>
          <w:numId w:val="1"/>
        </w:numPr>
        <w:ind w:firstLineChars="0"/>
        <w:rPr>
          <w:b/>
          <w:color w:val="auto"/>
          <w:highlight w:val="none"/>
          <w:shd w:val="clear" w:color="auto" w:fill="auto"/>
        </w:rPr>
      </w:pPr>
      <w:r>
        <w:rPr>
          <w:rStyle w:val="6"/>
          <w:rtl w:val="0"/>
        </w:rPr>
        <w:t>下列对</w:t>
      </w:r>
      <w:r>
        <w:rPr>
          <w:rStyle w:val="6"/>
          <w:rFonts w:hint="eastAsia"/>
          <w:rtl w:val="0"/>
          <w:lang w:eastAsia="zh-CN"/>
        </w:rPr>
        <w:t>智克威得</w:t>
      </w:r>
      <w:r>
        <w:rPr>
          <w:rStyle w:val="6"/>
          <w:rtl w:val="0"/>
        </w:rPr>
        <w:t>的安全性描述错误的是</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Style w:val="6"/>
          <w:sz w:val="24"/>
          <w:szCs w:val="24"/>
          <w:rtl w:val="0"/>
        </w:rPr>
        <w:t>智克威得临床试验均表明该疫苗具有很好的安全性</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老年人群不良反应发生率较成人更高</w:t>
      </w:r>
      <w:r>
        <w:rPr>
          <w:rFonts w:hint="default"/>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截至目前，共接种超2.5亿剂次，异常反应报告率0.24/10万</w:t>
      </w:r>
      <w:r>
        <w:rPr>
          <w:rFonts w:hint="eastAsia"/>
          <w:b w:val="0"/>
          <w:bCs w:val="0"/>
          <w:lang w:val="en-US" w:eastAsia="zh-CN"/>
        </w:rPr>
        <w:t>。</w:t>
      </w:r>
    </w:p>
    <w:p>
      <w:pPr>
        <w:pStyle w:val="8"/>
        <w:numPr>
          <w:ilvl w:val="1"/>
          <w:numId w:val="1"/>
        </w:numPr>
        <w:ind w:firstLineChars="0"/>
        <w:rPr>
          <w:color w:val="auto"/>
          <w:highlight w:val="none"/>
          <w:shd w:val="clear" w:color="auto" w:fill="auto"/>
        </w:rPr>
      </w:pPr>
      <w:r>
        <w:rPr>
          <w:rStyle w:val="6"/>
          <w:sz w:val="24"/>
          <w:szCs w:val="24"/>
          <w:rtl w:val="0"/>
        </w:rPr>
        <w:t>未观察到与疫苗相关的严重不良事件（SAE)</w:t>
      </w:r>
      <w:r>
        <w:rPr>
          <w:rFonts w:hint="eastAsia"/>
          <w:b w:val="0"/>
          <w:bCs w:val="0"/>
          <w:lang w:val="en-US" w:eastAsia="zh-CN"/>
        </w:rPr>
        <w:t>。</w:t>
      </w:r>
    </w:p>
    <w:p>
      <w:pPr>
        <w:pStyle w:val="8"/>
        <w:numPr>
          <w:ilvl w:val="0"/>
          <w:numId w:val="0"/>
        </w:numPr>
        <w:ind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2016全球疾病负担研究显示，2016年全球有</w:t>
      </w:r>
      <w:r>
        <w:rPr>
          <w:rFonts w:hint="eastAsia"/>
          <w:color w:val="auto"/>
          <w:highlight w:val="none"/>
          <w:u w:val="single"/>
          <w:shd w:val="clear" w:color="auto" w:fill="auto"/>
          <w:lang w:val="en-US" w:eastAsia="zh-CN"/>
        </w:rPr>
        <w:t xml:space="preserve">    </w:t>
      </w:r>
      <w:r>
        <w:rPr>
          <w:rFonts w:hint="eastAsia"/>
          <w:color w:val="auto"/>
          <w:highlight w:val="none"/>
          <w:shd w:val="clear" w:color="auto" w:fill="auto"/>
          <w:lang w:val="en-US" w:eastAsia="zh-CN"/>
        </w:rPr>
        <w:t>人死于流脑，高居脑膜炎死因之首：</w:t>
      </w:r>
      <w:r>
        <w:rPr>
          <w:rFonts w:hint="eastAsia"/>
          <w:b/>
          <w:color w:val="auto"/>
          <w:highlight w:val="none"/>
          <w:shd w:val="clear" w:color="auto" w:fill="auto"/>
          <w:lang w:val="en-US" w:eastAsia="zh-CN"/>
        </w:rPr>
        <w:t>d</w:t>
      </w:r>
    </w:p>
    <w:p>
      <w:pPr>
        <w:pStyle w:val="8"/>
        <w:numPr>
          <w:ilvl w:val="0"/>
          <w:numId w:val="0"/>
        </w:numPr>
        <w:ind w:left="420" w:leftChars="0" w:right="0" w:rightChars="0"/>
        <w:rPr>
          <w:rFonts w:hint="eastAsia"/>
          <w:color w:val="auto"/>
          <w:highlight w:val="none"/>
          <w:shd w:val="clear" w:color="auto" w:fill="auto"/>
          <w:lang w:val="en-US" w:eastAsia="zh-CN"/>
        </w:rPr>
      </w:pPr>
      <w:r>
        <w:rPr>
          <w:rFonts w:hint="eastAsia"/>
          <w:color w:val="auto"/>
          <w:highlight w:val="none"/>
          <w:shd w:val="clear" w:color="auto" w:fill="auto"/>
          <w:lang w:val="en-US" w:eastAsia="zh-CN"/>
        </w:rPr>
        <w:t>a)23143</w:t>
      </w:r>
    </w:p>
    <w:p>
      <w:pPr>
        <w:pStyle w:val="8"/>
        <w:numPr>
          <w:ilvl w:val="0"/>
          <w:numId w:val="0"/>
        </w:numPr>
        <w:ind w:left="420" w:leftChars="0" w:right="0" w:rightChars="0"/>
        <w:rPr>
          <w:rFonts w:hint="eastAsia"/>
          <w:color w:val="auto"/>
          <w:highlight w:val="none"/>
          <w:shd w:val="clear" w:color="auto" w:fill="auto"/>
          <w:lang w:val="en-US" w:eastAsia="zh-CN"/>
        </w:rPr>
      </w:pPr>
      <w:r>
        <w:rPr>
          <w:rFonts w:hint="eastAsia"/>
          <w:color w:val="auto"/>
          <w:highlight w:val="none"/>
          <w:shd w:val="clear" w:color="auto" w:fill="auto"/>
          <w:lang w:val="en-US" w:eastAsia="zh-CN"/>
        </w:rPr>
        <w:t>b)31410</w:t>
      </w:r>
    </w:p>
    <w:p>
      <w:pPr>
        <w:pStyle w:val="8"/>
        <w:numPr>
          <w:ilvl w:val="0"/>
          <w:numId w:val="0"/>
        </w:numPr>
        <w:ind w:left="420" w:leftChars="0" w:right="0" w:rightChars="0"/>
        <w:rPr>
          <w:rFonts w:hint="eastAsia"/>
          <w:color w:val="auto"/>
          <w:highlight w:val="none"/>
          <w:shd w:val="clear" w:color="auto" w:fill="auto"/>
          <w:lang w:val="en-US" w:eastAsia="zh-CN"/>
        </w:rPr>
      </w:pPr>
      <w:r>
        <w:rPr>
          <w:rFonts w:hint="eastAsia"/>
          <w:color w:val="auto"/>
          <w:highlight w:val="none"/>
          <w:shd w:val="clear" w:color="auto" w:fill="auto"/>
          <w:lang w:val="en-US" w:eastAsia="zh-CN"/>
        </w:rPr>
        <w:t>c)47739</w:t>
      </w:r>
    </w:p>
    <w:p>
      <w:pPr>
        <w:pStyle w:val="8"/>
        <w:numPr>
          <w:ilvl w:val="0"/>
          <w:numId w:val="0"/>
        </w:numPr>
        <w:ind w:left="420" w:leftChars="0" w:right="0" w:rightChars="0"/>
        <w:rPr>
          <w:rFonts w:hint="eastAsia"/>
          <w:color w:val="auto"/>
          <w:highlight w:val="none"/>
          <w:shd w:val="clear" w:color="auto" w:fill="auto"/>
          <w:lang w:val="en-US" w:eastAsia="zh-CN"/>
        </w:rPr>
      </w:pPr>
      <w:r>
        <w:rPr>
          <w:rFonts w:hint="eastAsia"/>
          <w:color w:val="auto"/>
          <w:highlight w:val="none"/>
          <w:shd w:val="clear" w:color="auto" w:fill="auto"/>
          <w:lang w:val="en-US" w:eastAsia="zh-CN"/>
        </w:rPr>
        <w:t>d)127424</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ascii="宋体" w:hAnsi="宋体"/>
          <w:sz w:val="24"/>
          <w:szCs w:val="24"/>
          <w:lang w:val="en-US" w:eastAsia="zh-CN"/>
        </w:rPr>
        <w:t>2017年6月，全球脑膜炎球菌疾病行动组（GMI）中国圆桌会议：我国流脑整体发病率被低估，一项meta分析估计，我国流脑发病率达到</w:t>
      </w:r>
      <w:r>
        <w:rPr>
          <w:rFonts w:hint="eastAsia" w:ascii="宋体" w:hAnsi="宋体"/>
          <w:sz w:val="24"/>
          <w:szCs w:val="24"/>
          <w:u w:val="single"/>
          <w:lang w:val="en-US" w:eastAsia="zh-CN"/>
        </w:rPr>
        <w:t xml:space="preserve">     </w:t>
      </w:r>
      <w:r>
        <w:rPr>
          <w:rFonts w:hint="eastAsia" w:ascii="宋体" w:hAnsi="宋体"/>
          <w:sz w:val="24"/>
          <w:szCs w:val="24"/>
          <w:lang w:val="en-US" w:eastAsia="zh-CN"/>
        </w:rPr>
        <w:t>/10万</w:t>
      </w:r>
      <w:r>
        <w:rPr>
          <w:rFonts w:hint="eastAsia"/>
          <w:color w:val="auto"/>
          <w:highlight w:val="none"/>
          <w:shd w:val="clear" w:color="auto" w:fill="auto"/>
        </w:rPr>
        <w:t>：</w:t>
      </w:r>
      <w:r>
        <w:rPr>
          <w:rFonts w:hint="eastAsia"/>
          <w:b/>
          <w:color w:val="auto"/>
          <w:highlight w:val="none"/>
          <w:shd w:val="clear" w:color="auto" w:fill="auto"/>
          <w:lang w:val="en-US" w:eastAsia="zh-CN"/>
        </w:rPr>
        <w:t>a</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1.84</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22.3</w:t>
      </w:r>
    </w:p>
    <w:p>
      <w:pPr>
        <w:pStyle w:val="8"/>
        <w:numPr>
          <w:ilvl w:val="0"/>
          <w:numId w:val="0"/>
        </w:numPr>
        <w:ind w:left="420" w:leftChars="0" w:right="0" w:rightChars="0"/>
        <w:rPr>
          <w:rFonts w:hint="eastAsia"/>
          <w:color w:val="auto"/>
          <w:highlight w:val="none"/>
          <w:shd w:val="clear" w:color="auto" w:fill="auto"/>
          <w:lang w:val="en-US" w:eastAsia="zh-CN"/>
        </w:rPr>
      </w:pPr>
    </w:p>
    <w:p>
      <w:pPr>
        <w:pStyle w:val="8"/>
        <w:numPr>
          <w:ilvl w:val="0"/>
          <w:numId w:val="1"/>
        </w:numPr>
        <w:ind w:firstLineChars="0"/>
        <w:rPr>
          <w:b/>
          <w:color w:val="auto"/>
          <w:highlight w:val="none"/>
          <w:shd w:val="clear" w:color="auto" w:fill="auto"/>
        </w:rPr>
      </w:pPr>
      <w:r>
        <w:rPr>
          <w:rFonts w:hint="eastAsia" w:ascii="宋体" w:hAnsi="宋体"/>
          <w:sz w:val="24"/>
          <w:szCs w:val="24"/>
        </w:rPr>
        <w:t>一项中国传染病监测数据显示：2005-201</w:t>
      </w:r>
      <w:r>
        <w:rPr>
          <w:rFonts w:hint="eastAsia" w:ascii="宋体" w:hAnsi="宋体"/>
          <w:sz w:val="24"/>
          <w:szCs w:val="24"/>
          <w:lang w:val="en-US" w:eastAsia="zh-CN"/>
        </w:rPr>
        <w:t>7</w:t>
      </w:r>
      <w:r>
        <w:rPr>
          <w:rFonts w:hint="eastAsia" w:ascii="宋体" w:hAnsi="宋体"/>
          <w:sz w:val="24"/>
          <w:szCs w:val="24"/>
        </w:rPr>
        <w:t>年全国&lt;1岁儿童流脑死亡病例数占全国的</w:t>
      </w:r>
      <w:r>
        <w:rPr>
          <w:rFonts w:hint="eastAsia" w:ascii="宋体" w:hAnsi="宋体"/>
          <w:b/>
          <w:bCs/>
          <w:color w:val="auto"/>
          <w:sz w:val="24"/>
          <w:szCs w:val="24"/>
          <w:u w:val="single"/>
          <w:lang w:val="en-US" w:eastAsia="zh-CN"/>
        </w:rPr>
        <w:t xml:space="preserve">      </w:t>
      </w:r>
      <w:r>
        <w:rPr>
          <w:rFonts w:hint="eastAsia" w:ascii="宋体" w:hAnsi="宋体"/>
          <w:sz w:val="24"/>
          <w:szCs w:val="24"/>
        </w:rPr>
        <w:t>%</w:t>
      </w:r>
      <w:r>
        <w:rPr>
          <w:rFonts w:hint="eastAsia"/>
          <w:color w:val="auto"/>
          <w:highlight w:val="none"/>
          <w:shd w:val="clear" w:color="auto" w:fill="auto"/>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27.5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26.03</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30</w:t>
      </w:r>
    </w:p>
    <w:p>
      <w:pPr>
        <w:pStyle w:val="8"/>
        <w:numPr>
          <w:ilvl w:val="0"/>
          <w:numId w:val="0"/>
        </w:numPr>
        <w:ind w:leftChars="0" w:right="0" w:rightChars="0"/>
        <w:rPr>
          <w:b/>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rPr>
        <w:t>全国法定传染病报告系统显示，2015-2017年我国实验室确诊流脑病例病死率达14.19%，其中W135群病死率最高，达到</w:t>
      </w:r>
      <w:r>
        <w:rPr>
          <w:rFonts w:hint="eastAsia"/>
          <w:color w:val="auto"/>
          <w:highlight w:val="none"/>
          <w:u w:val="single"/>
          <w:shd w:val="clear" w:color="auto" w:fill="auto"/>
        </w:rPr>
        <w:t xml:space="preserve">       </w:t>
      </w:r>
      <w:r>
        <w:rPr>
          <w:rFonts w:hint="eastAsia"/>
          <w:color w:val="auto"/>
          <w:highlight w:val="none"/>
          <w:shd w:val="clear" w:color="auto" w:fill="auto"/>
        </w:rPr>
        <w:t>%。：</w:t>
      </w:r>
      <w:r>
        <w:rPr>
          <w:rFonts w:hint="eastAsia"/>
          <w:b/>
          <w:color w:val="auto"/>
          <w:highlight w:val="none"/>
          <w:shd w:val="clear" w:color="auto" w:fill="auto"/>
        </w:rPr>
        <w:t>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10</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15.09</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18.52</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50</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sz w:val="24"/>
          <w:szCs w:val="24"/>
          <w:lang w:val="en-US" w:eastAsia="zh-CN"/>
        </w:rPr>
        <w:t>一项研究资料数据显示，我</w:t>
      </w:r>
      <w:r>
        <w:rPr>
          <w:rFonts w:hint="eastAsia" w:ascii="宋体" w:hAnsi="宋体"/>
          <w:sz w:val="24"/>
          <w:szCs w:val="24"/>
          <w:lang w:val="en-US" w:eastAsia="zh-CN"/>
        </w:rPr>
        <w:t>国0-4岁健康婴幼儿中C群抗体阳性率仅为</w:t>
      </w:r>
      <w:r>
        <w:rPr>
          <w:rFonts w:hint="eastAsia"/>
          <w:sz w:val="24"/>
          <w:szCs w:val="24"/>
          <w:u w:val="single"/>
          <w:lang w:val="en-US" w:eastAsia="zh-CN"/>
        </w:rPr>
        <w:t xml:space="preserve">    </w:t>
      </w:r>
      <w:r>
        <w:rPr>
          <w:rFonts w:hint="eastAsia" w:ascii="宋体" w:hAnsi="宋体"/>
          <w:sz w:val="24"/>
          <w:szCs w:val="24"/>
          <w:lang w:val="en-US" w:eastAsia="zh-CN"/>
        </w:rPr>
        <w:t>%，低于其他年龄组</w:t>
      </w:r>
      <w:r>
        <w:rPr>
          <w:rFonts w:hint="eastAsia"/>
          <w:sz w:val="24"/>
          <w:szCs w:val="24"/>
          <w:lang w:val="en-US" w:eastAsia="zh-CN"/>
        </w:rPr>
        <w:t>，抗体水平较低</w:t>
      </w:r>
      <w:r>
        <w:rPr>
          <w:rFonts w:hint="eastAsia"/>
          <w:color w:val="auto"/>
          <w:highlight w:val="none"/>
          <w:shd w:val="clear" w:color="auto" w:fill="auto"/>
        </w:rPr>
        <w:t>：</w:t>
      </w:r>
      <w:r>
        <w:rPr>
          <w:rFonts w:hint="eastAsia"/>
          <w:b/>
          <w:color w:val="auto"/>
          <w:highlight w:val="none"/>
          <w:shd w:val="clear" w:color="auto" w:fill="auto"/>
          <w:lang w:val="en-US" w:eastAsia="zh-CN"/>
        </w:rPr>
        <w:t>a</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23.6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34.9</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70.9</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81.4</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ascii="宋体" w:hAnsi="宋体"/>
          <w:sz w:val="24"/>
          <w:szCs w:val="24"/>
          <w:lang w:val="en-US" w:eastAsia="zh-CN"/>
        </w:rPr>
        <w:t>一项</w:t>
      </w:r>
      <w:r>
        <w:rPr>
          <w:rFonts w:hint="eastAsia"/>
          <w:sz w:val="24"/>
          <w:szCs w:val="24"/>
          <w:lang w:val="en-US" w:eastAsia="zh-CN"/>
        </w:rPr>
        <w:t>我</w:t>
      </w:r>
      <w:r>
        <w:rPr>
          <w:rFonts w:hint="eastAsia" w:ascii="宋体" w:hAnsi="宋体"/>
          <w:sz w:val="24"/>
          <w:szCs w:val="24"/>
          <w:lang w:val="en-US" w:eastAsia="zh-CN"/>
        </w:rPr>
        <w:t>国2015-2019年中国流行性脑脊髓膜炎血清群分布特征数据显示</w:t>
      </w:r>
      <w:r>
        <w:rPr>
          <w:rFonts w:hint="eastAsia"/>
          <w:sz w:val="24"/>
          <w:szCs w:val="24"/>
          <w:lang w:val="en-US" w:eastAsia="zh-CN"/>
        </w:rPr>
        <w:t>，2019年C群病例比例为</w:t>
      </w:r>
      <w:r>
        <w:rPr>
          <w:rFonts w:hint="eastAsia"/>
          <w:sz w:val="24"/>
          <w:szCs w:val="24"/>
          <w:u w:val="single"/>
          <w:lang w:val="en-US" w:eastAsia="zh-CN"/>
        </w:rPr>
        <w:t xml:space="preserve">     </w:t>
      </w:r>
      <w:r>
        <w:rPr>
          <w:rFonts w:hint="eastAsia"/>
          <w:sz w:val="24"/>
          <w:szCs w:val="24"/>
          <w:lang w:val="en-US" w:eastAsia="zh-CN"/>
        </w:rPr>
        <w:t>%，C群血清型导致的病例数以及病例占比明显呈上升趋势</w:t>
      </w:r>
      <w:r>
        <w:rPr>
          <w:rFonts w:hint="eastAsia"/>
          <w:b w:val="0"/>
          <w:bCs w:val="0"/>
          <w:color w:val="auto"/>
          <w:sz w:val="24"/>
          <w:szCs w:val="24"/>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1.28</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10.26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16.28</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37.18</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sz w:val="24"/>
          <w:szCs w:val="24"/>
          <w:lang w:val="en-US" w:eastAsia="zh-CN"/>
        </w:rPr>
        <w:t>我</w:t>
      </w:r>
      <w:r>
        <w:rPr>
          <w:rFonts w:hint="eastAsia" w:ascii="宋体" w:hAnsi="宋体"/>
          <w:sz w:val="24"/>
          <w:szCs w:val="24"/>
          <w:lang w:val="en-US" w:eastAsia="zh-CN"/>
        </w:rPr>
        <w:t>国公共卫生科学数据中心检测数据显示</w:t>
      </w:r>
      <w:r>
        <w:rPr>
          <w:rFonts w:hint="eastAsia"/>
          <w:sz w:val="24"/>
          <w:szCs w:val="24"/>
          <w:lang w:val="en-US" w:eastAsia="zh-CN"/>
        </w:rPr>
        <w:t>，2013-2017年间，全国1岁以下婴幼儿流脑死亡病例数最高可达总病例数的</w:t>
      </w:r>
      <w:r>
        <w:rPr>
          <w:rFonts w:hint="eastAsia"/>
          <w:sz w:val="24"/>
          <w:szCs w:val="24"/>
          <w:u w:val="single"/>
          <w:lang w:val="en-US" w:eastAsia="zh-CN"/>
        </w:rPr>
        <w:t xml:space="preserve">      </w:t>
      </w:r>
      <w:r>
        <w:rPr>
          <w:rFonts w:hint="eastAsia"/>
          <w:sz w:val="24"/>
          <w:szCs w:val="24"/>
          <w:lang w:val="en-US" w:eastAsia="zh-CN"/>
        </w:rPr>
        <w:t>%</w:t>
      </w:r>
      <w:r>
        <w:rPr>
          <w:rFonts w:hint="eastAsia"/>
          <w:b w:val="0"/>
          <w:bCs w:val="0"/>
          <w:color w:val="auto"/>
          <w:sz w:val="24"/>
          <w:szCs w:val="24"/>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10</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25</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50</w:t>
      </w:r>
    </w:p>
    <w:p>
      <w:pPr>
        <w:pStyle w:val="8"/>
        <w:numPr>
          <w:ilvl w:val="0"/>
          <w:numId w:val="0"/>
        </w:numPr>
        <w:ind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color w:val="auto"/>
          <w:highlight w:val="none"/>
          <w:shd w:val="clear" w:color="auto" w:fill="auto"/>
          <w:lang w:val="en-US" w:eastAsia="zh-CN"/>
        </w:rPr>
        <w:t>一项江苏省研究显示，江苏省2011-2012年苏州市健康人群脑膜炎W135群免疫水平低，W135群阳性率为</w:t>
      </w:r>
      <w:r>
        <w:rPr>
          <w:rFonts w:hint="eastAsia"/>
          <w:color w:val="auto"/>
          <w:highlight w:val="none"/>
          <w:u w:val="single"/>
          <w:shd w:val="clear" w:color="auto" w:fill="auto"/>
          <w:lang w:val="en-US" w:eastAsia="zh-CN"/>
        </w:rPr>
        <w:t xml:space="preserve">    </w:t>
      </w:r>
      <w:r>
        <w:rPr>
          <w:rFonts w:hint="eastAsia"/>
          <w:color w:val="auto"/>
          <w:highlight w:val="none"/>
          <w:u w:val="none"/>
          <w:shd w:val="clear" w:color="auto" w:fill="auto"/>
          <w:lang w:val="en-US" w:eastAsia="zh-CN"/>
        </w:rPr>
        <w:t>%</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25.65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26.51</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45.38</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48.51</w:t>
      </w:r>
    </w:p>
    <w:p>
      <w:pPr>
        <w:pStyle w:val="8"/>
        <w:numPr>
          <w:ilvl w:val="0"/>
          <w:numId w:val="0"/>
        </w:numPr>
        <w:ind w:leftChars="0" w:right="0" w:rightChars="0"/>
        <w:rPr>
          <w:b/>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ascii="宋体" w:hAnsi="宋体"/>
          <w:sz w:val="24"/>
          <w:szCs w:val="24"/>
          <w:lang w:val="en-US" w:eastAsia="zh-CN"/>
        </w:rPr>
        <w:t>盟威克是国内首个上市销售的四价流脑疫苗，</w:t>
      </w:r>
      <w:r>
        <w:rPr>
          <w:rFonts w:hint="eastAsia" w:ascii="宋体" w:hAnsi="宋体"/>
          <w:b/>
          <w:bCs/>
          <w:sz w:val="24"/>
          <w:szCs w:val="24"/>
          <w:u w:val="single"/>
          <w:lang w:val="en-US" w:eastAsia="zh-CN"/>
        </w:rPr>
        <w:t xml:space="preserve">     </w:t>
      </w:r>
      <w:r>
        <w:rPr>
          <w:rFonts w:hint="eastAsia" w:ascii="宋体" w:hAnsi="宋体"/>
          <w:sz w:val="24"/>
          <w:szCs w:val="24"/>
          <w:lang w:val="en-US" w:eastAsia="zh-CN"/>
        </w:rPr>
        <w:t>年在中国上市</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sz w:val="24"/>
          <w:szCs w:val="24"/>
          <w:lang w:val="en-US" w:eastAsia="zh-CN"/>
        </w:rPr>
        <w:t>2005</w:t>
      </w:r>
    </w:p>
    <w:p>
      <w:pPr>
        <w:pStyle w:val="8"/>
        <w:numPr>
          <w:ilvl w:val="1"/>
          <w:numId w:val="1"/>
        </w:numPr>
        <w:ind w:firstLineChars="0"/>
        <w:rPr>
          <w:color w:val="auto"/>
          <w:highlight w:val="none"/>
          <w:shd w:val="clear" w:color="auto" w:fill="auto"/>
        </w:rPr>
      </w:pPr>
      <w:r>
        <w:rPr>
          <w:rFonts w:hint="eastAsia"/>
          <w:sz w:val="24"/>
          <w:szCs w:val="24"/>
          <w:lang w:val="en-US" w:eastAsia="zh-CN"/>
        </w:rPr>
        <w:t>2008</w:t>
      </w:r>
    </w:p>
    <w:p>
      <w:pPr>
        <w:pStyle w:val="8"/>
        <w:numPr>
          <w:ilvl w:val="1"/>
          <w:numId w:val="1"/>
        </w:numPr>
        <w:ind w:firstLineChars="0"/>
        <w:rPr>
          <w:color w:val="auto"/>
          <w:highlight w:val="none"/>
          <w:shd w:val="clear" w:color="auto" w:fill="auto"/>
        </w:rPr>
      </w:pPr>
      <w:r>
        <w:rPr>
          <w:rFonts w:hint="eastAsia"/>
          <w:sz w:val="24"/>
          <w:szCs w:val="24"/>
          <w:lang w:val="en-US" w:eastAsia="zh-CN"/>
        </w:rPr>
        <w:t>2012</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2015</w:t>
      </w:r>
    </w:p>
    <w:p>
      <w:pPr>
        <w:pStyle w:val="8"/>
        <w:numPr>
          <w:ilvl w:val="0"/>
          <w:numId w:val="0"/>
        </w:numPr>
        <w:ind w:leftChars="0" w:right="0" w:rightChars="0"/>
        <w:rPr>
          <w:b/>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ascii="宋体" w:hAnsi="宋体"/>
          <w:sz w:val="24"/>
          <w:szCs w:val="24"/>
          <w:lang w:val="en-US" w:eastAsia="zh-CN"/>
        </w:rPr>
        <w:t>中国的Ⅲ期临床研究资料显示：盟威克初免后抗体阳转率高，均达到</w:t>
      </w:r>
      <w:r>
        <w:rPr>
          <w:rFonts w:hint="eastAsia" w:ascii="宋体" w:hAnsi="宋体"/>
          <w:sz w:val="24"/>
          <w:szCs w:val="24"/>
          <w:u w:val="single"/>
          <w:lang w:val="en-US" w:eastAsia="zh-CN"/>
        </w:rPr>
        <w:t xml:space="preserve">     </w:t>
      </w:r>
      <w:r>
        <w:rPr>
          <w:rFonts w:hint="eastAsia" w:ascii="宋体" w:hAnsi="宋体"/>
          <w:sz w:val="24"/>
          <w:szCs w:val="24"/>
          <w:lang w:val="en-US" w:eastAsia="zh-CN"/>
        </w:rPr>
        <w:t>%以上</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99.8</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97.9</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95.8</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ascii="宋体" w:hAnsi="宋体"/>
          <w:sz w:val="24"/>
          <w:szCs w:val="24"/>
          <w:lang w:val="en-US" w:eastAsia="zh-CN"/>
        </w:rPr>
        <w:t>三期临床试验证实，盟纳康免疫后抗体阳转率高，在接受不同免疫程序人群中均达到</w:t>
      </w:r>
      <w:r>
        <w:rPr>
          <w:rFonts w:hint="eastAsia"/>
          <w:sz w:val="24"/>
          <w:szCs w:val="24"/>
          <w:u w:val="single"/>
          <w:lang w:val="en-US" w:eastAsia="zh-CN"/>
        </w:rPr>
        <w:t xml:space="preserve">     </w:t>
      </w:r>
      <w:r>
        <w:rPr>
          <w:rFonts w:hint="eastAsia" w:ascii="宋体" w:hAnsi="宋体"/>
          <w:sz w:val="24"/>
          <w:szCs w:val="24"/>
          <w:lang w:val="en-US" w:eastAsia="zh-CN"/>
        </w:rPr>
        <w:t>%以上</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77.2</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84.7</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99.8</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ascii="宋体" w:hAnsi="宋体"/>
          <w:sz w:val="24"/>
          <w:szCs w:val="24"/>
          <w:lang w:val="en-US" w:eastAsia="zh-CN"/>
        </w:rPr>
        <w:t>一项中国的上市后临床观察报告显示，盟纳康接种3年后血清抗体阳转率依旧维持较高水平，均达到</w:t>
      </w:r>
      <w:r>
        <w:rPr>
          <w:rFonts w:hint="eastAsia"/>
          <w:sz w:val="24"/>
          <w:szCs w:val="24"/>
          <w:u w:val="single"/>
          <w:lang w:val="en-US" w:eastAsia="zh-CN"/>
        </w:rPr>
        <w:t xml:space="preserve">     </w:t>
      </w:r>
      <w:r>
        <w:rPr>
          <w:rFonts w:hint="eastAsia" w:ascii="宋体" w:hAnsi="宋体"/>
          <w:sz w:val="24"/>
          <w:szCs w:val="24"/>
          <w:lang w:val="en-US" w:eastAsia="zh-CN"/>
        </w:rPr>
        <w:t>%以上</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a</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77.2</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84.7</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98.6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99.8</w:t>
      </w:r>
    </w:p>
    <w:p>
      <w:pPr>
        <w:pStyle w:val="8"/>
        <w:numPr>
          <w:ilvl w:val="0"/>
          <w:numId w:val="0"/>
        </w:numPr>
        <w:ind w:right="0" w:rightChars="0"/>
        <w:rPr>
          <w:color w:val="auto"/>
          <w:highlight w:val="none"/>
          <w:shd w:val="clear" w:color="auto" w:fill="auto"/>
        </w:rPr>
      </w:pPr>
    </w:p>
    <w:p>
      <w:pPr>
        <w:pStyle w:val="8"/>
        <w:numPr>
          <w:ilvl w:val="0"/>
          <w:numId w:val="1"/>
        </w:numPr>
        <w:ind w:firstLineChars="0"/>
        <w:rPr>
          <w:b/>
          <w:color w:val="auto"/>
          <w:highlight w:val="none"/>
          <w:shd w:val="clear" w:color="auto" w:fill="auto"/>
        </w:rPr>
      </w:pPr>
      <w:r>
        <w:rPr>
          <w:rFonts w:hint="eastAsia" w:ascii="宋体" w:hAnsi="宋体"/>
          <w:sz w:val="24"/>
          <w:szCs w:val="24"/>
          <w:lang w:val="en-US" w:eastAsia="zh-CN"/>
        </w:rPr>
        <w:t>盟纳康不良反应轻微，局部反应发生率均小于</w:t>
      </w:r>
      <w:r>
        <w:rPr>
          <w:rFonts w:hint="eastAsia"/>
          <w:sz w:val="24"/>
          <w:szCs w:val="24"/>
          <w:u w:val="single"/>
          <w:lang w:val="en-US" w:eastAsia="zh-CN"/>
        </w:rPr>
        <w:t xml:space="preserve">    </w:t>
      </w:r>
      <w:r>
        <w:rPr>
          <w:rFonts w:hint="eastAsia" w:ascii="宋体" w:hAnsi="宋体"/>
          <w:sz w:val="24"/>
          <w:szCs w:val="24"/>
          <w:lang w:val="en-US" w:eastAsia="zh-CN"/>
        </w:rPr>
        <w:t>%，疫苗安全性高</w:t>
      </w:r>
      <w:r>
        <w:rPr>
          <w:rFonts w:hint="eastAsia"/>
          <w:color w:val="auto"/>
          <w:highlight w:val="none"/>
          <w:shd w:val="clear" w:color="auto" w:fill="auto"/>
          <w:lang w:val="en-US" w:eastAsia="zh-CN"/>
        </w:rPr>
        <w:t>：</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0.5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1</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3</w:t>
      </w:r>
    </w:p>
    <w:p>
      <w:pPr>
        <w:pStyle w:val="8"/>
        <w:numPr>
          <w:ilvl w:val="0"/>
          <w:numId w:val="0"/>
        </w:numPr>
        <w:ind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下列关于预灌封注射器优势，描述正确的是：</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Fonts w:hint="eastAsia" w:ascii="宋体" w:hAnsi="宋体"/>
          <w:sz w:val="24"/>
          <w:szCs w:val="24"/>
          <w:lang w:val="en-US" w:eastAsia="zh-CN"/>
        </w:rPr>
        <w:t>预灌封包装与传统西林瓶相比，使用预灌封注射器完成一剂疫苗接种可节省</w:t>
      </w:r>
      <w:r>
        <w:rPr>
          <w:rFonts w:hint="eastAsia"/>
          <w:sz w:val="24"/>
          <w:szCs w:val="24"/>
          <w:u w:val="none"/>
          <w:lang w:val="en-US" w:eastAsia="zh-CN"/>
        </w:rPr>
        <w:t>63</w:t>
      </w:r>
      <w:r>
        <w:rPr>
          <w:rFonts w:hint="eastAsia" w:ascii="宋体" w:hAnsi="宋体"/>
          <w:sz w:val="24"/>
          <w:szCs w:val="24"/>
          <w:lang w:val="en-US" w:eastAsia="zh-CN"/>
        </w:rPr>
        <w:t>％的时间</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预灌封包装与传统西林瓶相比，使用预灌封注射器完成一剂疫苗接种可减少差错事件发生率达76%</w:t>
      </w:r>
    </w:p>
    <w:p>
      <w:pPr>
        <w:pStyle w:val="8"/>
        <w:numPr>
          <w:ilvl w:val="1"/>
          <w:numId w:val="1"/>
        </w:numPr>
        <w:ind w:firstLineChars="0"/>
        <w:rPr>
          <w:rFonts w:hint="eastAsia" w:ascii="宋体" w:hAnsi="宋体"/>
          <w:b w:val="0"/>
          <w:bCs w:val="0"/>
          <w:color w:val="auto"/>
          <w:sz w:val="24"/>
          <w:szCs w:val="24"/>
          <w:lang w:val="en-US" w:eastAsia="zh-CN"/>
        </w:rPr>
      </w:pPr>
      <w:r>
        <w:rPr>
          <w:rFonts w:hint="eastAsia" w:ascii="宋体" w:hAnsi="宋体"/>
          <w:sz w:val="24"/>
          <w:szCs w:val="24"/>
          <w:lang w:val="en-US" w:eastAsia="zh-CN"/>
        </w:rPr>
        <w:t>与预灌封注射器3切面针头相比，采用5切面针头可显著减少</w:t>
      </w:r>
      <w:r>
        <w:rPr>
          <w:rFonts w:hint="eastAsia"/>
          <w:sz w:val="24"/>
          <w:szCs w:val="24"/>
          <w:lang w:val="en-US" w:eastAsia="zh-CN"/>
        </w:rPr>
        <w:t>55.4</w:t>
      </w:r>
      <w:r>
        <w:rPr>
          <w:rFonts w:hint="eastAsia" w:ascii="宋体" w:hAnsi="宋体"/>
          <w:sz w:val="24"/>
          <w:szCs w:val="24"/>
          <w:lang w:val="en-US" w:eastAsia="zh-CN"/>
        </w:rPr>
        <w:t>%中重度疼痛感</w:t>
      </w:r>
    </w:p>
    <w:p>
      <w:pPr>
        <w:pStyle w:val="8"/>
        <w:numPr>
          <w:ilvl w:val="1"/>
          <w:numId w:val="1"/>
        </w:numPr>
        <w:ind w:firstLineChars="0"/>
        <w:rPr>
          <w:rFonts w:hint="eastAsia" w:ascii="宋体" w:hAnsi="宋体"/>
          <w:b w:val="0"/>
          <w:bCs w:val="0"/>
          <w:color w:val="auto"/>
          <w:sz w:val="24"/>
          <w:szCs w:val="24"/>
          <w:lang w:val="en-US" w:eastAsia="zh-CN"/>
        </w:rPr>
      </w:pPr>
      <w:r>
        <w:rPr>
          <w:rFonts w:hint="eastAsia" w:ascii="宋体" w:hAnsi="宋体"/>
          <w:b w:val="0"/>
          <w:bCs w:val="0"/>
          <w:color w:val="auto"/>
          <w:sz w:val="24"/>
          <w:szCs w:val="24"/>
          <w:lang w:val="en-US" w:eastAsia="zh-CN"/>
        </w:rPr>
        <w:t>与预灌封注射器3切面针头相比，采用5切面针头可显著减少</w:t>
      </w:r>
      <w:r>
        <w:rPr>
          <w:rFonts w:hint="eastAsia"/>
          <w:b w:val="0"/>
          <w:bCs w:val="0"/>
          <w:color w:val="auto"/>
          <w:sz w:val="24"/>
          <w:szCs w:val="24"/>
          <w:lang w:val="en-US" w:eastAsia="zh-CN"/>
        </w:rPr>
        <w:t>32.5</w:t>
      </w:r>
      <w:r>
        <w:rPr>
          <w:rFonts w:hint="eastAsia" w:ascii="宋体" w:hAnsi="宋体"/>
          <w:b w:val="0"/>
          <w:bCs w:val="0"/>
          <w:color w:val="auto"/>
          <w:sz w:val="24"/>
          <w:szCs w:val="24"/>
          <w:lang w:val="en-US" w:eastAsia="zh-CN"/>
        </w:rPr>
        <w:t>%接种部位出血</w:t>
      </w:r>
    </w:p>
    <w:p>
      <w:pPr>
        <w:pStyle w:val="8"/>
        <w:numPr>
          <w:ilvl w:val="0"/>
          <w:numId w:val="0"/>
        </w:numPr>
        <w:ind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ascii="宋体" w:hAnsi="宋体"/>
          <w:b w:val="0"/>
          <w:bCs w:val="0"/>
          <w:color w:val="auto"/>
          <w:sz w:val="24"/>
          <w:szCs w:val="24"/>
          <w:lang w:val="en-US" w:eastAsia="zh-CN"/>
        </w:rPr>
        <w:t>一项2017年发表的系统回顾和meta分析，对中国大陆儿童Hib的携带情况和疾病负担进行了分析，共纳入27项研究、15783名儿童、覆盖17个省份，结果显示</w:t>
      </w:r>
      <w:r>
        <w:rPr>
          <w:rFonts w:hint="eastAsia"/>
          <w:b w:val="0"/>
          <w:bCs w:val="0"/>
          <w:color w:val="auto"/>
          <w:sz w:val="24"/>
          <w:szCs w:val="24"/>
          <w:lang w:val="en-US" w:eastAsia="zh-CN"/>
        </w:rPr>
        <w:t>,健康儿童中Hib携带率为</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w:t>
      </w:r>
      <w:r>
        <w:rPr>
          <w:rFonts w:hint="eastAsia"/>
          <w:b/>
          <w:bCs/>
          <w:color w:val="auto"/>
          <w:sz w:val="24"/>
          <w:szCs w:val="24"/>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4.06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5.87</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27.32</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34.3</w:t>
      </w:r>
    </w:p>
    <w:p>
      <w:pPr>
        <w:pStyle w:val="8"/>
        <w:numPr>
          <w:ilvl w:val="0"/>
          <w:numId w:val="0"/>
        </w:numPr>
        <w:ind w:left="420" w:leftChars="0"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ascii="宋体" w:hAnsi="宋体"/>
          <w:b w:val="0"/>
          <w:bCs w:val="0"/>
          <w:color w:val="auto"/>
          <w:sz w:val="24"/>
          <w:szCs w:val="24"/>
          <w:lang w:val="en-US" w:eastAsia="zh-CN"/>
        </w:rPr>
        <w:t>一项2017年发表的系统回顾和meta分析，对中国大陆儿童Hib的携带情况和疾病负担进行了分析，共纳入27项研究、15783名儿童、覆盖17个省份，结果显示</w:t>
      </w:r>
      <w:r>
        <w:rPr>
          <w:rFonts w:hint="eastAsia"/>
          <w:b w:val="0"/>
          <w:bCs w:val="0"/>
          <w:color w:val="auto"/>
          <w:sz w:val="24"/>
          <w:szCs w:val="24"/>
          <w:lang w:val="en-US" w:eastAsia="zh-CN"/>
        </w:rPr>
        <w:t>,儿童细菌性脑膜炎</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%由Hib引起。</w:t>
      </w:r>
      <w:r>
        <w:rPr>
          <w:rFonts w:hint="eastAsia"/>
          <w:b/>
          <w:bCs/>
          <w:color w:val="auto"/>
          <w:sz w:val="24"/>
          <w:szCs w:val="24"/>
          <w:lang w:val="en-US" w:eastAsia="zh-CN"/>
        </w:rPr>
        <w:t>c</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4.06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5.87</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27.32</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34.3</w:t>
      </w:r>
    </w:p>
    <w:p>
      <w:pPr>
        <w:pStyle w:val="8"/>
        <w:numPr>
          <w:ilvl w:val="0"/>
          <w:numId w:val="0"/>
        </w:numPr>
        <w:ind w:left="420" w:leftChars="0"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ascii="宋体" w:hAnsi="宋体"/>
          <w:b w:val="0"/>
          <w:bCs w:val="0"/>
          <w:color w:val="auto"/>
          <w:sz w:val="24"/>
          <w:szCs w:val="24"/>
          <w:lang w:val="en-US" w:eastAsia="zh-CN"/>
        </w:rPr>
        <w:t>一项2017年发表的系统回顾和meta分析，对中国大陆儿童Hib的携带情况和疾病负担进行了分析，共纳入27项研究、15783名儿童、覆盖17个省份，结果显示</w:t>
      </w:r>
      <w:r>
        <w:rPr>
          <w:rFonts w:hint="eastAsia"/>
          <w:b w:val="0"/>
          <w:bCs w:val="0"/>
          <w:color w:val="auto"/>
          <w:sz w:val="24"/>
          <w:szCs w:val="24"/>
          <w:lang w:val="en-US" w:eastAsia="zh-CN"/>
        </w:rPr>
        <w:t>,急性下呼吸道感染</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%由Hib引起。</w:t>
      </w:r>
      <w:r>
        <w:rPr>
          <w:rFonts w:hint="eastAsia"/>
          <w:b/>
          <w:bCs/>
          <w:color w:val="auto"/>
          <w:sz w:val="24"/>
          <w:szCs w:val="24"/>
          <w:lang w:val="en-US" w:eastAsia="zh-CN"/>
        </w:rPr>
        <w:t>a</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4.06</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5.87</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27.32</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34.3</w:t>
      </w:r>
    </w:p>
    <w:p>
      <w:pPr>
        <w:pStyle w:val="8"/>
        <w:numPr>
          <w:ilvl w:val="0"/>
          <w:numId w:val="0"/>
        </w:numPr>
        <w:ind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三期临床试验证实，喜菲贝初免后抗体阳转率高，合计达到</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%以上：</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95.5</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97.87</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98.6</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100</w:t>
      </w:r>
    </w:p>
    <w:p>
      <w:pPr>
        <w:pStyle w:val="8"/>
        <w:numPr>
          <w:ilvl w:val="0"/>
          <w:numId w:val="0"/>
        </w:numPr>
        <w:ind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一项喜菲贝上市后长期安全性研究，在13000名受试者中，征集到合格受试者11730，其中总不良反应/事件发生率为</w:t>
      </w:r>
      <w:r>
        <w:rPr>
          <w:rFonts w:hint="eastAsia"/>
          <w:b w:val="0"/>
          <w:bCs w:val="0"/>
          <w:color w:val="auto"/>
          <w:sz w:val="24"/>
          <w:szCs w:val="24"/>
          <w:u w:val="single"/>
          <w:lang w:val="en-US" w:eastAsia="zh-CN"/>
        </w:rPr>
        <w:t xml:space="preserve">     </w:t>
      </w:r>
      <w:r>
        <w:rPr>
          <w:rFonts w:hint="eastAsia"/>
          <w:b w:val="0"/>
          <w:bCs w:val="0"/>
          <w:color w:val="auto"/>
          <w:sz w:val="24"/>
          <w:szCs w:val="24"/>
          <w:lang w:val="en-US" w:eastAsia="zh-CN"/>
        </w:rPr>
        <w:t>％ ，不良反应/事件多为轻微和一过性的，不良反应/事件发生率低：</w:t>
      </w:r>
      <w:r>
        <w:rPr>
          <w:rFonts w:hint="eastAsia"/>
          <w:b/>
          <w:color w:val="auto"/>
          <w:highlight w:val="none"/>
          <w:shd w:val="clear" w:color="auto" w:fill="auto"/>
          <w:lang w:val="en-US" w:eastAsia="zh-CN"/>
        </w:rPr>
        <w:t>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0.08</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3.61</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5.68</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9.29</w:t>
      </w:r>
    </w:p>
    <w:p>
      <w:pPr>
        <w:pStyle w:val="8"/>
        <w:numPr>
          <w:ilvl w:val="0"/>
          <w:numId w:val="0"/>
        </w:numPr>
        <w:ind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对喜菲贝生产工艺描述正确的是：</w:t>
      </w:r>
      <w:r>
        <w:rPr>
          <w:rFonts w:hint="eastAsia"/>
          <w:b/>
          <w:color w:val="auto"/>
          <w:highlight w:val="none"/>
          <w:shd w:val="clear" w:color="auto" w:fill="auto"/>
          <w:lang w:val="en-US" w:eastAsia="zh-CN"/>
        </w:rPr>
        <w:t>abcd</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多糖分子量均一，稳定性和产品质量一致性高</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采用新的多糖蛋白结合方法，免疫原性更高</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采用新型佐剂，稳定性更好，免疫原性更高</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独特超滤工艺和流程，质量指标优于国家标准</w:t>
      </w:r>
    </w:p>
    <w:p>
      <w:pPr>
        <w:pStyle w:val="8"/>
        <w:numPr>
          <w:ilvl w:val="0"/>
          <w:numId w:val="0"/>
        </w:numPr>
        <w:ind w:right="0" w:rightChars="0"/>
        <w:rPr>
          <w:rFonts w:hint="eastAsia" w:ascii="宋体" w:hAnsi="宋体"/>
          <w:b w:val="0"/>
          <w:bCs w:val="0"/>
          <w:color w:val="auto"/>
          <w:sz w:val="24"/>
          <w:szCs w:val="24"/>
          <w:lang w:val="en-US" w:eastAsia="zh-CN"/>
        </w:rPr>
      </w:pPr>
    </w:p>
    <w:p>
      <w:pPr>
        <w:pStyle w:val="8"/>
        <w:numPr>
          <w:ilvl w:val="0"/>
          <w:numId w:val="1"/>
        </w:numPr>
        <w:ind w:firstLineChars="0"/>
        <w:rPr>
          <w:b/>
          <w:color w:val="auto"/>
          <w:highlight w:val="none"/>
          <w:shd w:val="clear" w:color="auto" w:fill="auto"/>
        </w:rPr>
      </w:pPr>
      <w:r>
        <w:rPr>
          <w:rFonts w:hint="eastAsia"/>
          <w:b w:val="0"/>
          <w:bCs w:val="0"/>
          <w:color w:val="auto"/>
          <w:sz w:val="24"/>
          <w:szCs w:val="24"/>
          <w:lang w:val="en-US" w:eastAsia="zh-CN"/>
        </w:rPr>
        <w:t>对喜菲贝的接种程序描述错误的是：</w:t>
      </w:r>
      <w:r>
        <w:rPr>
          <w:rFonts w:hint="eastAsia"/>
          <w:b/>
          <w:color w:val="auto"/>
          <w:highlight w:val="none"/>
          <w:shd w:val="clear" w:color="auto" w:fill="auto"/>
          <w:lang w:val="en-US" w:eastAsia="zh-CN"/>
        </w:rPr>
        <w:t>b</w:t>
      </w:r>
    </w:p>
    <w:p>
      <w:pPr>
        <w:pStyle w:val="8"/>
        <w:numPr>
          <w:ilvl w:val="1"/>
          <w:numId w:val="1"/>
        </w:numPr>
        <w:ind w:firstLineChars="0"/>
        <w:rPr>
          <w:color w:val="auto"/>
          <w:highlight w:val="none"/>
          <w:shd w:val="clear" w:color="auto" w:fill="auto"/>
        </w:rPr>
      </w:pPr>
      <w:r>
        <w:rPr>
          <w:rFonts w:hint="eastAsia"/>
          <w:color w:val="auto"/>
          <w:highlight w:val="none"/>
          <w:shd w:val="clear" w:color="auto" w:fill="auto"/>
          <w:lang w:val="en-US" w:eastAsia="zh-CN"/>
        </w:rPr>
        <w:t>2-6月龄婴儿，从2或3月龄开始，每间隔1或2月接种1次，共3次，在18月龄时进行加强接种1次</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6-12月龄婴儿，每间隔1或2月接种1次，共2次，无需加强</w:t>
      </w:r>
    </w:p>
    <w:p>
      <w:pPr>
        <w:pStyle w:val="8"/>
        <w:numPr>
          <w:ilvl w:val="1"/>
          <w:numId w:val="1"/>
        </w:numPr>
        <w:ind w:firstLineChars="0"/>
        <w:rPr>
          <w:rFonts w:hint="eastAsia" w:ascii="宋体" w:hAnsi="宋体"/>
          <w:b w:val="0"/>
          <w:bCs w:val="0"/>
          <w:color w:val="auto"/>
          <w:sz w:val="24"/>
          <w:szCs w:val="24"/>
          <w:lang w:val="en-US" w:eastAsia="zh-CN"/>
        </w:rPr>
      </w:pPr>
      <w:r>
        <w:rPr>
          <w:rFonts w:hint="eastAsia"/>
          <w:color w:val="auto"/>
          <w:highlight w:val="none"/>
          <w:shd w:val="clear" w:color="auto" w:fill="auto"/>
          <w:lang w:val="en-US" w:eastAsia="zh-CN"/>
        </w:rPr>
        <w:t>6-12月龄婴儿，每间隔1或2月接种1次，共2次，在18月龄时进行加强接种1次</w:t>
      </w:r>
    </w:p>
    <w:p>
      <w:pPr>
        <w:pStyle w:val="8"/>
        <w:numPr>
          <w:ilvl w:val="1"/>
          <w:numId w:val="1"/>
        </w:numPr>
        <w:ind w:firstLineChars="0"/>
        <w:rPr>
          <w:rFonts w:hint="eastAsia" w:ascii="宋体" w:hAnsi="宋体"/>
          <w:b w:val="0"/>
          <w:bCs w:val="0"/>
          <w:color w:val="auto"/>
          <w:sz w:val="24"/>
          <w:szCs w:val="24"/>
          <w:lang w:val="en-US" w:eastAsia="zh-CN"/>
        </w:rPr>
      </w:pPr>
      <w:r>
        <w:rPr>
          <w:rFonts w:hint="eastAsia"/>
          <w:b w:val="0"/>
          <w:bCs w:val="0"/>
          <w:color w:val="auto"/>
          <w:sz w:val="24"/>
          <w:szCs w:val="24"/>
          <w:lang w:val="en-US" w:eastAsia="zh-CN"/>
        </w:rPr>
        <w:t>1-5周岁儿童，接种1次</w:t>
      </w:r>
    </w:p>
    <w:p>
      <w:pPr>
        <w:pStyle w:val="8"/>
        <w:numPr>
          <w:ilvl w:val="0"/>
          <w:numId w:val="0"/>
        </w:numPr>
        <w:ind w:leftChars="0" w:right="0" w:rightChars="0"/>
        <w:rPr>
          <w:rStyle w:val="6"/>
          <w:rFonts w:hint="eastAsia"/>
          <w:sz w:val="24"/>
          <w:szCs w:val="24"/>
          <w:rtl w:val="0"/>
          <w:lang w:val="en-US" w:eastAsia="zh-CN"/>
        </w:rPr>
      </w:pPr>
    </w:p>
    <w:sectPr>
      <w:pgSz w:w="12240" w:h="15840"/>
      <w:pgMar w:top="1380" w:right="1580" w:bottom="280" w:left="15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25538A"/>
    <w:multiLevelType w:val="multilevel"/>
    <w:tmpl w:val="5F25538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720"/>
  <w:drawingGridHorizontalSpacing w:val="110"/>
  <w:displayHorizontalDrawingGridEvery w:val="0"/>
  <w:displayVerticalDrawingGridEvery w:val="2"/>
  <w:characterSpacingControl w:val="doNotCompress"/>
  <w:footnotePr>
    <w:footnote w:id="0"/>
    <w:footnote w:id="1"/>
  </w:footnotePr>
  <w:endnotePr>
    <w:endnote w:id="0"/>
    <w:endnote w:id="1"/>
  </w:endnotePr>
  <w:compat>
    <w:balanceSingleByteDoubleByteWidth/>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zdlOGFkNTQ3M2M4NDMyYzkwOTY4NzI0ZWQ4ZDhiNmIifQ=="/>
  </w:docVars>
  <w:rsids>
    <w:rsidRoot w:val="00000000"/>
    <w:rsid w:val="0066795B"/>
    <w:rsid w:val="01AE3255"/>
    <w:rsid w:val="02AB09F4"/>
    <w:rsid w:val="02CD3BBE"/>
    <w:rsid w:val="040F3DA7"/>
    <w:rsid w:val="045E1BB5"/>
    <w:rsid w:val="061739B6"/>
    <w:rsid w:val="07322BF2"/>
    <w:rsid w:val="07441360"/>
    <w:rsid w:val="07A514A5"/>
    <w:rsid w:val="0B8718EE"/>
    <w:rsid w:val="0DD06FDE"/>
    <w:rsid w:val="127E1A01"/>
    <w:rsid w:val="12B82CC5"/>
    <w:rsid w:val="197C3F9A"/>
    <w:rsid w:val="203310D5"/>
    <w:rsid w:val="21354AB4"/>
    <w:rsid w:val="21572BCA"/>
    <w:rsid w:val="21983C99"/>
    <w:rsid w:val="23685189"/>
    <w:rsid w:val="23C40371"/>
    <w:rsid w:val="25081374"/>
    <w:rsid w:val="261A667F"/>
    <w:rsid w:val="27492A8D"/>
    <w:rsid w:val="29333EAD"/>
    <w:rsid w:val="2B9C28A5"/>
    <w:rsid w:val="2C7C4419"/>
    <w:rsid w:val="2E1C7876"/>
    <w:rsid w:val="2EA60228"/>
    <w:rsid w:val="2F7958CA"/>
    <w:rsid w:val="2FD07A63"/>
    <w:rsid w:val="32A32F6B"/>
    <w:rsid w:val="334B0D39"/>
    <w:rsid w:val="35E2021F"/>
    <w:rsid w:val="371B21AF"/>
    <w:rsid w:val="37901121"/>
    <w:rsid w:val="37B570F9"/>
    <w:rsid w:val="37B660DC"/>
    <w:rsid w:val="3BBA6FBB"/>
    <w:rsid w:val="3C0B2B89"/>
    <w:rsid w:val="3F375A43"/>
    <w:rsid w:val="4126700F"/>
    <w:rsid w:val="41CD437D"/>
    <w:rsid w:val="427D63B2"/>
    <w:rsid w:val="4415535D"/>
    <w:rsid w:val="47EB3EC3"/>
    <w:rsid w:val="47EC7B76"/>
    <w:rsid w:val="49D653CE"/>
    <w:rsid w:val="4E5F5F21"/>
    <w:rsid w:val="4F2002A2"/>
    <w:rsid w:val="4F496948"/>
    <w:rsid w:val="517E1354"/>
    <w:rsid w:val="520D2BE4"/>
    <w:rsid w:val="52BB3C78"/>
    <w:rsid w:val="52D559F4"/>
    <w:rsid w:val="531E387F"/>
    <w:rsid w:val="546B6116"/>
    <w:rsid w:val="57723665"/>
    <w:rsid w:val="57753074"/>
    <w:rsid w:val="578C2C12"/>
    <w:rsid w:val="58753A7F"/>
    <w:rsid w:val="590C074A"/>
    <w:rsid w:val="5AE42F9E"/>
    <w:rsid w:val="5E6E7D90"/>
    <w:rsid w:val="5F4E3967"/>
    <w:rsid w:val="5F864BC4"/>
    <w:rsid w:val="60504547"/>
    <w:rsid w:val="625105F5"/>
    <w:rsid w:val="63F20CAE"/>
    <w:rsid w:val="648429FB"/>
    <w:rsid w:val="654C3747"/>
    <w:rsid w:val="666D0179"/>
    <w:rsid w:val="666F34DB"/>
    <w:rsid w:val="68B65551"/>
    <w:rsid w:val="69DE0F80"/>
    <w:rsid w:val="69F93A02"/>
    <w:rsid w:val="6A472BE9"/>
    <w:rsid w:val="6EF32120"/>
    <w:rsid w:val="6FF8069E"/>
    <w:rsid w:val="718F3813"/>
    <w:rsid w:val="73AC7A58"/>
    <w:rsid w:val="75EF43A6"/>
    <w:rsid w:val="76996129"/>
    <w:rsid w:val="777449A8"/>
    <w:rsid w:val="7B807C5F"/>
    <w:rsid w:val="7D6E0883"/>
    <w:rsid w:val="7FA41F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20"/>
      <w:outlineLvl w:val="1"/>
    </w:pPr>
    <w:rPr>
      <w:rFonts w:ascii="微软雅黑" w:hAnsi="微软雅黑" w:eastAsia="微软雅黑" w:cs="微软雅黑"/>
      <w:sz w:val="28"/>
      <w:szCs w:val="28"/>
      <w:lang w:val="zh-CN" w:eastAsia="zh-CN" w:bidi="zh-CN"/>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4"/>
      <w:szCs w:val="24"/>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220"/>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7409</Words>
  <Characters>8848</Characters>
  <Lines>1</Lines>
  <Paragraphs>1</Paragraphs>
  <TotalTime>7</TotalTime>
  <ScaleCrop>false</ScaleCrop>
  <LinksUpToDate>false</LinksUpToDate>
  <CharactersWithSpaces>9102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2020-05-24T07:10:00Z</dcterms:created>
  <dc:creator>ThinkPad</dc:creator>
  <cp:lastModifiedBy>小桌子</cp:lastModifiedBy>
  <dcterms:modified xsi:type="dcterms:W3CDTF">2023-03-21T02:41:14Z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2020-05-24T00:00:00Z</vt:filetime>
  </property>
  <property fmtid="{D5CDD505-2E9C-101B-9397-08002B2CF9AE}" pid="3" name="LastSaved">
    <vt:filetime>2020-05-24T00:00:00Z</vt:filetime>
  </property>
  <property fmtid="{D5CDD505-2E9C-101B-9397-08002B2CF9AE}" pid="4" name="KSOProductBuildVer">
    <vt:lpwstr>2052-11.1.0.13703</vt:lpwstr>
  </property>
  <property fmtid="{D5CDD505-2E9C-101B-9397-08002B2CF9AE}" pid="5" name="ICV">
    <vt:lpwstr>5E62D57D21354500A22DBEDCFA463E60</vt:lpwstr>
  </property>
</Properties>
</file>